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13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308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MEHTA NIKHIL RAMESH</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PUBMATIC,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MARSHALL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PubMatic,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PUBM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138"/>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674"/>
              <w:spacing w:after="0"/>
              <w:rPr>
                <w:sz w:val="20"/>
                <w:szCs w:val="20"/>
                <w:color w:val="auto"/>
              </w:rPr>
            </w:pPr>
            <w:r>
              <w:rPr>
                <w:rFonts w:ascii="Times New Roman" w:cs="Times New Roman" w:eastAsia="Times New Roman" w:hAnsi="Times New Roman"/>
                <w:sz w:val="17"/>
                <w:szCs w:val="17"/>
                <w:color w:val="0000FF"/>
                <w:w w:val="98"/>
              </w:rPr>
              <w:t>05/31/2025</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8,447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18,022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15,811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416"/>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15,811</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line="141" w:lineRule="exact"/>
              <w:rPr>
                <w:sz w:val="20"/>
                <w:szCs w:val="20"/>
                <w:color w:val="auto"/>
              </w:rPr>
            </w:pPr>
            <w:r>
              <w:rPr>
                <w:rFonts w:ascii="Times New Roman" w:cs="Times New Roman" w:eastAsia="Times New Roman" w:hAnsi="Times New Roman"/>
                <w:sz w:val="13"/>
                <w:szCs w:val="13"/>
                <w:color w:val="0000FF"/>
              </w:rPr>
              <w:t>15,811</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8,447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05/31/2025</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43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2"/>
                <w:szCs w:val="12"/>
                <w:color w:val="auto"/>
              </w:rPr>
            </w:pPr>
          </w:p>
        </w:tc>
        <w:tc>
          <w:tcPr>
            <w:tcW w:w="4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8,447</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 upon settlement.</w:t>
      </w:r>
    </w:p>
    <w:p>
      <w:pPr>
        <w:spacing w:after="0" w:line="41"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full on the earliest to occur of (a) the first anniversary of the grant date, (b) immediately prior to the Company's annual meeting of stockholders in 2026, (c) the Reporting Person's death or disability, and (d) a change in control of the Issuer. Shares of the Issuer's Class A Common Stock will be delivered to the Reporting Person upon settlement of the RSUs.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cancelled prior to vesting date.</w:t>
      </w:r>
    </w:p>
    <w:p>
      <w:pPr>
        <w:spacing w:after="0" w:line="41" w:lineRule="exact"/>
        <w:rPr>
          <w:rFonts w:ascii="Times New Roman" w:cs="Times New Roman" w:eastAsia="Times New Roman" w:hAnsi="Times New Roman"/>
          <w:sz w:val="13"/>
          <w:szCs w:val="13"/>
          <w:color w:val="008000"/>
        </w:rPr>
      </w:pPr>
    </w:p>
    <w:p>
      <w:pPr>
        <w:ind w:left="40" w:right="42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full on the earliest to occur of (a) the first anniversary of the grant date, (b) immediately prior to the Company's annual meeting of stockholders in 2026, (c) the Reporting Person's death or disability, and (d) a change in control of the Issuer. The Reporting Person has elected to defer settlement of the RSUs until the earliest to occur of (i) the third anniversary of the grant date, (ii) the Reporting Person's death or disability, (iii) a change in control of the Issuer, and (iv) the Reporting Person's separation of service from the Issuer. Shares of the Issuer's Class A Common Stock will be delivered to the Reporting Person upon settlement of the RSUs.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Andrew Woods, Attorney-in- </w:t>
      </w:r>
      <w:r>
        <w:rPr>
          <w:rFonts w:ascii="Times New Roman" w:cs="Times New Roman" w:eastAsia="Times New Roman" w:hAnsi="Times New Roman"/>
          <w:sz w:val="31"/>
          <w:szCs w:val="31"/>
          <w:color w:val="0000FF"/>
          <w:vertAlign w:val="subscript"/>
        </w:rPr>
        <w:t>04/14/2026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60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4727" TargetMode="External"/><Relationship Id="rId14" Type="http://schemas.openxmlformats.org/officeDocument/2006/relationships/hyperlink" Target="http://www.sec.gov/cgi-bin/browse-edgar?action=getcompany&amp;CIK=0001422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2026-04-14T16:39:40Z</dcterms:created>
  <dcterms:modified xsi:type="dcterms:W3CDTF">2026-04-14T16:39:40Z</dcterms:modified>
</cp:coreProperties>
</file>