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62026_100755.xml.htm"/>
      <w:bookmarkStart w:id="1" w:name="ksform407062026_1007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Klimenko Paulina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PUBMATIC,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MARSHALL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PubMatic, Inc.</w:t>
              </w:r>
            </w:hyperlink>
            <w:r>
              <w:rPr/>
              <w:t xml:space="preserve"> [ </w:t>
            </w:r>
            <w:r>
              <w:rPr>
                <w:rFonts w:ascii="Times;serif" w:hAnsi="Times;serif"/>
                <w:color w:val="0000FF"/>
                <w:sz w:val="24"/>
                <w:shd w:fill="FFFFFF" w:val="clear"/>
              </w:rPr>
              <w:t>PUBM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GROWTH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33,531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94,967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14,914</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13.6485</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80,053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9,009</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13.4185</w:t>
            </w:r>
            <w:r>
              <w:rPr>
                <w:rFonts w:ascii="Times;serif" w:hAnsi="Times;serif"/>
                <w:color w:val="008000"/>
                <w:position w:val="7"/>
                <w:sz w:val="16"/>
                <w:sz w:val="20"/>
                <w:shd w:fill="FFFFFF" w:val="clear"/>
              </w:rPr>
              <w:t>(4)</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71,044</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6,584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6,584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13,167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6,485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6,485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38,908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5,363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5,363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53,636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15,099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15,099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211,396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shares sold by the Reporting Person to cover tax withholding obligations in connection with the vesting and settlement of restricted stock units ("RSUs"). The sales were to satisfy tax withholding obligations to be funded by a "sell to cover"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this line item is a weighted average price. These shares were sold as part of block trades for multiple security holders of the Issuer at prices ranging from $13.50 to $13.89, inclusive. The Reporting Person undertakes to provide to the Issuer, any securityholder of the Issuer or the staff of the Securities and Exchange Commission, upon request, full information regarding the number of shares sold at each separate price within the range set forth herein with regard to the block trades.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sales reported in this Form 4 were effected pursuant to a Rule 10b5-1 trading plan adopted by the Reporting Person on May 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this line item is a weighted average price. These shares were sold at prices ranging from $13.34 to $13.525, inclusive. The Reporting Person undertakes to provide to the Issuer, any securityholder of the Issuer or the staff of the Securities and Exchange Commission,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RSU represents a right to receive one share of the Issuer's Class A Common Stock at the time of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vested as to 1/16th of the total award on April 1, 2023, and 1/16th of the total award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RSUs do not expire; they either vest or are canceled prior to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RSUs vested as to 1/16th of the total award on April 1, 2024, and 1/16th of the total award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RSUs vested as to 1/16th of the total award on April 1, 2025, and 1/16th of the total award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RSUs vested as to 1/16th of the total award on April 1, 2026, and 1/16th of the total award will vest quarterly thereafter, subject to the Reporting Person's provision of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Woods,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74892" TargetMode="External"/><Relationship Id="rId5" Type="http://schemas.openxmlformats.org/officeDocument/2006/relationships/hyperlink" Target="http://www.sec.gov/cgi-bin/browse-edgar?action=getcompany&amp;CIK=0001422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1083</Words>
  <Characters>5539</Characters>
  <CharactersWithSpaces>6509</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