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96520</wp:posOffset>
            </wp:positionV>
            <wp:extent cx="29660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74295</wp:posOffset>
            </wp:positionV>
            <wp:extent cx="2966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3660" w:right="1860" w:hanging="3652"/>
        <w:spacing w:after="0" w:line="320" w:lineRule="auto"/>
        <w:tabs>
          <w:tab w:leader="none" w:pos="20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102870</wp:posOffset>
            </wp:positionV>
            <wp:extent cx="2966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PUBMATIC, INC.</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66040</wp:posOffset>
            </wp:positionV>
            <wp:extent cx="29660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ectPr>
          <w:pgSz w:w="11900" w:h="16838" w:orient="portrait"/>
          <w:cols w:equalWidth="0" w:num="1">
            <w:col w:w="11240"/>
          </w:cols>
          <w:pgMar w:left="320" w:top="1174" w:right="339" w:bottom="1125" w:gutter="0" w:footer="0" w:header="0"/>
        </w:sectPr>
      </w:pPr>
    </w:p>
    <w:p>
      <w:pPr>
        <w:spacing w:after="0" w:line="235"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20-5863224</w:t>
      </w:r>
    </w:p>
    <w:p>
      <w:pPr>
        <w:spacing w:after="0" w:line="90" w:lineRule="exact"/>
        <w:rPr>
          <w:sz w:val="24"/>
          <w:szCs w:val="24"/>
          <w:color w:val="auto"/>
        </w:rPr>
      </w:pPr>
    </w:p>
    <w:p>
      <w:pPr>
        <w:sectPr>
          <w:pgSz w:w="11900" w:h="16838" w:orient="portrait"/>
          <w:cols w:equalWidth="0" w:num="2">
            <w:col w:w="7280" w:space="720"/>
            <w:col w:w="3240"/>
          </w:cols>
          <w:pgMar w:left="320" w:top="1174" w:right="339" w:bottom="1125"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6240" w:space="720"/>
            <w:col w:w="4280"/>
          </w:cols>
          <w:pgMar w:left="320" w:top="1174" w:right="339" w:bottom="1125"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1174" w:right="339" w:bottom="1125" w:gutter="0" w:footer="0" w:header="0"/>
          <w:type w:val="continuous"/>
        </w:sectPr>
      </w:pPr>
    </w:p>
    <w:p>
      <w:pPr>
        <w:spacing w:after="0" w:line="94"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2" w:lineRule="exact"/>
        <w:rPr>
          <w:sz w:val="24"/>
          <w:szCs w:val="24"/>
          <w:color w:val="auto"/>
        </w:rPr>
      </w:pPr>
    </w:p>
    <w:p>
      <w:pPr>
        <w:sectPr>
          <w:pgSz w:w="11900" w:h="16838" w:orient="portrait"/>
          <w:cols w:equalWidth="0" w:num="3">
            <w:col w:w="4300" w:space="720"/>
            <w:col w:w="1400" w:space="720"/>
            <w:col w:w="4100"/>
          </w:cols>
          <w:pgMar w:left="320" w:top="1174" w:right="339" w:bottom="1125" w:gutter="0" w:footer="0" w:header="0"/>
          <w:type w:val="continuous"/>
        </w:sectPr>
      </w:pPr>
    </w:p>
    <w:p>
      <w:pPr>
        <w:ind w:left="440"/>
        <w:spacing w:after="0"/>
        <w:tabs>
          <w:tab w:leader="none" w:pos="5320" w:val="left"/>
          <w:tab w:leader="none" w:pos="7740" w:val="left"/>
        </w:tabs>
        <w:rPr>
          <w:sz w:val="20"/>
          <w:szCs w:val="20"/>
          <w:color w:val="auto"/>
        </w:rPr>
      </w:pPr>
      <w:r>
        <w:rPr>
          <w:rFonts w:ascii="Arial" w:cs="Arial" w:eastAsia="Arial" w:hAnsi="Arial"/>
          <w:sz w:val="18"/>
          <w:szCs w:val="18"/>
          <w:b w:val="1"/>
          <w:bCs w:val="1"/>
          <w:color w:val="auto"/>
        </w:rPr>
        <w:t>Class A common stock, $0.0001 par value per share</w:t>
      </w:r>
      <w:r>
        <w:rPr>
          <w:sz w:val="20"/>
          <w:szCs w:val="20"/>
          <w:color w:val="auto"/>
        </w:rPr>
        <w:tab/>
      </w:r>
      <w:r>
        <w:rPr>
          <w:rFonts w:ascii="Arial" w:cs="Arial" w:eastAsia="Arial" w:hAnsi="Arial"/>
          <w:sz w:val="18"/>
          <w:szCs w:val="18"/>
          <w:b w:val="1"/>
          <w:bCs w:val="1"/>
          <w:color w:val="auto"/>
        </w:rPr>
        <w:t>PUBM</w:t>
      </w:r>
      <w:r>
        <w:rPr>
          <w:sz w:val="20"/>
          <w:szCs w:val="20"/>
          <w:color w:val="auto"/>
        </w:rPr>
        <w:tab/>
      </w:r>
      <w:r>
        <w:rPr>
          <w:rFonts w:ascii="Arial" w:cs="Arial" w:eastAsia="Arial" w:hAnsi="Arial"/>
          <w:sz w:val="16"/>
          <w:szCs w:val="16"/>
          <w:b w:val="1"/>
          <w:bCs w:val="1"/>
          <w:color w:val="auto"/>
        </w:rPr>
        <w:t>The Nasdaq Global Market</w:t>
      </w:r>
    </w:p>
    <w:p>
      <w:pPr>
        <w:sectPr>
          <w:pgSz w:w="11900" w:h="16838" w:orient="portrait"/>
          <w:cols w:equalWidth="0" w:num="1">
            <w:col w:w="11240"/>
          </w:cols>
          <w:pgMar w:left="320" w:top="1174" w:right="339" w:bottom="1125" w:gutter="0" w:footer="0" w:header="0"/>
          <w:type w:val="continuous"/>
        </w:sectPr>
      </w:pP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69" w:lineRule="exact"/>
        <w:rPr>
          <w:sz w:val="24"/>
          <w:szCs w:val="24"/>
          <w:color w:val="auto"/>
        </w:rPr>
      </w:pPr>
    </w:p>
    <w:p>
      <w:pPr>
        <w:ind w:right="2540"/>
        <w:spacing w:after="0" w:line="262" w:lineRule="exact"/>
        <w:rPr>
          <w:sz w:val="20"/>
          <w:szCs w:val="20"/>
          <w:color w:val="auto"/>
        </w:rPr>
      </w:pPr>
      <w:r>
        <w:rPr>
          <w:rFonts w:ascii="Arial" w:cs="Arial" w:eastAsia="Arial" w:hAnsi="Arial"/>
          <w:sz w:val="14"/>
          <w:szCs w:val="14"/>
          <w:color w:val="auto"/>
        </w:rPr>
        <w:t xml:space="preserve">Indicate by a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jc w:val="both"/>
        <w:spacing w:after="0" w:line="31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7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060"/>
              <w:spacing w:after="0"/>
              <w:rPr>
                <w:sz w:val="20"/>
                <w:szCs w:val="20"/>
                <w:color w:val="auto"/>
              </w:rPr>
            </w:pPr>
            <w:r>
              <w:rPr>
                <w:rFonts w:ascii="Arial" w:cs="Arial" w:eastAsia="Arial" w:hAnsi="Arial"/>
                <w:sz w:val="16"/>
                <w:szCs w:val="16"/>
                <w:color w:val="auto"/>
              </w:rPr>
              <w:t>Accelerated filer</w:t>
            </w:r>
          </w:p>
        </w:tc>
        <w:tc>
          <w:tcPr>
            <w:tcW w:w="1400" w:type="dxa"/>
            <w:vAlign w:val="bottom"/>
          </w:tcPr>
          <w:p>
            <w:pPr>
              <w:ind w:left="1300"/>
              <w:spacing w:after="0"/>
              <w:rPr>
                <w:sz w:val="20"/>
                <w:szCs w:val="20"/>
                <w:color w:val="auto"/>
              </w:rPr>
            </w:pPr>
            <w:r>
              <w:rPr>
                <w:rFonts w:ascii="Arial" w:cs="Arial" w:eastAsia="Arial" w:hAnsi="Arial"/>
                <w:sz w:val="16"/>
                <w:szCs w:val="16"/>
                <w:color w:val="auto"/>
                <w:w w:val="89"/>
              </w:rPr>
              <w:t>o</w:t>
            </w:r>
          </w:p>
        </w:tc>
      </w:tr>
      <w:tr>
        <w:trPr>
          <w:trHeight w:val="225"/>
        </w:trPr>
        <w:tc>
          <w:tcPr>
            <w:tcW w:w="1780" w:type="dxa"/>
            <w:vAlign w:val="bottom"/>
          </w:tcPr>
          <w:p>
            <w:pPr>
              <w:spacing w:after="0"/>
              <w:rPr>
                <w:sz w:val="20"/>
                <w:szCs w:val="20"/>
                <w:color w:val="auto"/>
              </w:rPr>
            </w:pPr>
            <w:r>
              <w:rPr>
                <w:rFonts w:ascii="Arial" w:cs="Arial" w:eastAsia="Arial" w:hAnsi="Arial"/>
                <w:sz w:val="16"/>
                <w:szCs w:val="16"/>
                <w:color w:val="auto"/>
              </w:rPr>
              <w:t>Non-accelerated filer</w:t>
            </w:r>
          </w:p>
        </w:tc>
        <w:tc>
          <w:tcPr>
            <w:tcW w:w="2520" w:type="dxa"/>
            <w:vAlign w:val="bottom"/>
          </w:tcPr>
          <w:p>
            <w:pPr>
              <w:ind w:left="300"/>
              <w:spacing w:after="0"/>
              <w:rPr>
                <w:sz w:val="20"/>
                <w:szCs w:val="20"/>
                <w:color w:val="auto"/>
              </w:rPr>
            </w:pPr>
            <w:r>
              <w:rPr>
                <w:rFonts w:ascii="Arial" w:cs="Arial" w:eastAsia="Arial" w:hAnsi="Arial"/>
                <w:sz w:val="16"/>
                <w:szCs w:val="16"/>
                <w:color w:val="auto"/>
              </w:rPr>
              <w:t>o</w:t>
            </w:r>
          </w:p>
        </w:tc>
        <w:tc>
          <w:tcPr>
            <w:tcW w:w="5120" w:type="dxa"/>
            <w:vAlign w:val="bottom"/>
          </w:tcPr>
          <w:p>
            <w:pPr>
              <w:ind w:left="2060"/>
              <w:spacing w:after="0"/>
              <w:rPr>
                <w:sz w:val="20"/>
                <w:szCs w:val="20"/>
                <w:color w:val="auto"/>
              </w:rPr>
            </w:pPr>
            <w:r>
              <w:rPr>
                <w:rFonts w:ascii="Arial" w:cs="Arial" w:eastAsia="Arial" w:hAnsi="Arial"/>
                <w:sz w:val="16"/>
                <w:szCs w:val="16"/>
                <w:color w:val="auto"/>
              </w:rPr>
              <w:t>Smaller reporting company</w:t>
            </w:r>
          </w:p>
        </w:tc>
        <w:tc>
          <w:tcPr>
            <w:tcW w:w="1400" w:type="dxa"/>
            <w:vAlign w:val="bottom"/>
          </w:tcPr>
          <w:p>
            <w:pPr>
              <w:ind w:left="1300"/>
              <w:spacing w:after="0"/>
              <w:rPr>
                <w:sz w:val="20"/>
                <w:szCs w:val="20"/>
                <w:color w:val="auto"/>
              </w:rPr>
            </w:pPr>
            <w:r>
              <w:rPr>
                <w:rFonts w:ascii="Arial" w:cs="Arial" w:eastAsia="Arial" w:hAnsi="Arial"/>
                <w:sz w:val="16"/>
                <w:szCs w:val="16"/>
                <w:color w:val="auto"/>
                <w:w w:val="89"/>
              </w:rPr>
              <w:t>o</w:t>
            </w:r>
          </w:p>
        </w:tc>
      </w:tr>
      <w:tr>
        <w:trPr>
          <w:trHeight w:val="243"/>
        </w:trPr>
        <w:tc>
          <w:tcPr>
            <w:tcW w:w="17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120" w:type="dxa"/>
            <w:vAlign w:val="bottom"/>
          </w:tcPr>
          <w:p>
            <w:pPr>
              <w:ind w:left="2060"/>
              <w:spacing w:after="0"/>
              <w:rPr>
                <w:sz w:val="20"/>
                <w:szCs w:val="20"/>
                <w:color w:val="auto"/>
              </w:rPr>
            </w:pPr>
            <w:r>
              <w:rPr>
                <w:rFonts w:ascii="Arial" w:cs="Arial" w:eastAsia="Arial" w:hAnsi="Arial"/>
                <w:sz w:val="16"/>
                <w:szCs w:val="16"/>
                <w:color w:val="auto"/>
              </w:rPr>
              <w:t>Emerging growth company</w:t>
            </w:r>
          </w:p>
        </w:tc>
        <w:tc>
          <w:tcPr>
            <w:tcW w:w="1400" w:type="dxa"/>
            <w:vAlign w:val="bottom"/>
          </w:tcPr>
          <w:p>
            <w:pPr>
              <w:ind w:left="1300"/>
              <w:spacing w:after="0"/>
              <w:rPr>
                <w:sz w:val="20"/>
                <w:szCs w:val="20"/>
                <w:color w:val="auto"/>
              </w:rPr>
            </w:pPr>
            <w:r>
              <w:rPr>
                <w:rFonts w:ascii="Arial" w:cs="Arial" w:eastAsia="Arial" w:hAnsi="Arial"/>
                <w:sz w:val="16"/>
                <w:szCs w:val="16"/>
                <w:color w:val="auto"/>
                <w:w w:val="89"/>
              </w:rPr>
              <w:t>o</w:t>
            </w:r>
          </w:p>
        </w:tc>
      </w:tr>
    </w:tbl>
    <w:p>
      <w:pPr>
        <w:spacing w:after="0" w:line="118"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20"/>
        <w:spacing w:after="0" w:line="240"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7" w:lineRule="exact"/>
        <w:rPr>
          <w:sz w:val="24"/>
          <w:szCs w:val="24"/>
          <w:color w:val="auto"/>
        </w:rPr>
      </w:pPr>
    </w:p>
    <w:p>
      <w:pPr>
        <w:ind w:right="320"/>
        <w:spacing w:after="0" w:line="234"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The aggregate market value of common equity held by non-affiliates of the registrant as of June 30, 2022, based on the closing sales price for the registrant’s Class A common stock, as reported on the Nasdaq Global Market, was approximately $704.0 million. As of February 24, 2023, there were 43,576,097 shares of the registrant’s Class A common stock outstanding and 9,251,882 shares of the registrant’s Class B common stock outstanding.</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90"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Portions of the registrant’s proxy statement for its 2023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4" w:right="339" w:bottom="112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20" w:type="dxa"/>
            <w:vAlign w:val="bottom"/>
            <w:gridSpan w:val="8"/>
          </w:tcPr>
          <w:p>
            <w:pPr>
              <w:jc w:val="center"/>
              <w:ind w:right="334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72"/>
        </w:trPr>
        <w:tc>
          <w:tcPr>
            <w:tcW w:w="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40" w:type="dxa"/>
            <w:vAlign w:val="bottom"/>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39"/>
        </w:trPr>
        <w:tc>
          <w:tcPr>
            <w:tcW w:w="9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96"/>
        </w:trPr>
        <w:tc>
          <w:tcPr>
            <w:tcW w:w="10280" w:type="dxa"/>
            <w:vAlign w:val="bottom"/>
            <w:gridSpan w:val="23"/>
          </w:tcPr>
          <w:p>
            <w:pPr>
              <w:spacing w:after="0" w:line="196" w:lineRule="exact"/>
              <w:rPr>
                <w:sz w:val="20"/>
                <w:szCs w:val="20"/>
                <w:color w:val="auto"/>
              </w:rPr>
            </w:pPr>
            <w:r>
              <w:rPr>
                <w:rFonts w:ascii="Arial" w:cs="Arial" w:eastAsia="Arial" w:hAnsi="Arial"/>
                <w:sz w:val="18"/>
                <w:szCs w:val="18"/>
                <w:color w:val="0000FF"/>
              </w:rPr>
              <w:t>Note About Forward-Looking Statements</w:t>
            </w:r>
          </w:p>
        </w:tc>
        <w:tc>
          <w:tcPr>
            <w:tcW w:w="560" w:type="dxa"/>
            <w:vAlign w:val="bottom"/>
            <w:gridSpan w:val="2"/>
          </w:tcPr>
          <w:p>
            <w:pPr>
              <w:jc w:val="center"/>
              <w:ind w:left="291"/>
              <w:spacing w:after="0" w:line="196" w:lineRule="exact"/>
              <w:rPr>
                <w:sz w:val="20"/>
                <w:szCs w:val="20"/>
                <w:color w:val="auto"/>
              </w:rPr>
            </w:pPr>
            <w:r>
              <w:rPr>
                <w:rFonts w:ascii="Arial" w:cs="Arial" w:eastAsia="Arial" w:hAnsi="Arial"/>
                <w:sz w:val="18"/>
                <w:szCs w:val="18"/>
                <w:color w:val="0000FF"/>
                <w:w w:val="99"/>
              </w:rPr>
              <w:t>1</w:t>
            </w:r>
          </w:p>
        </w:tc>
        <w:tc>
          <w:tcPr>
            <w:tcW w:w="380" w:type="dxa"/>
            <w:vAlign w:val="bottom"/>
          </w:tcPr>
          <w:p>
            <w:pPr>
              <w:spacing w:after="0"/>
              <w:rPr>
                <w:sz w:val="17"/>
                <w:szCs w:val="17"/>
                <w:color w:val="auto"/>
              </w:rPr>
            </w:pPr>
          </w:p>
        </w:tc>
      </w:tr>
      <w:tr>
        <w:trPr>
          <w:trHeight w:val="250"/>
        </w:trPr>
        <w:tc>
          <w:tcPr>
            <w:tcW w:w="186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Market and Industry Data</w:t>
            </w:r>
          </w:p>
        </w:tc>
        <w:tc>
          <w:tcPr>
            <w:tcW w:w="1140" w:type="dxa"/>
            <w:vAlign w:val="bottom"/>
            <w:tcBorders>
              <w:top w:val="single" w:sz="8" w:color="0000FF"/>
            </w:tcBorders>
            <w:gridSpan w:val="6"/>
          </w:tcPr>
          <w:p>
            <w:pPr>
              <w:spacing w:after="0"/>
              <w:rPr>
                <w:sz w:val="21"/>
                <w:szCs w:val="21"/>
                <w:color w:val="auto"/>
              </w:rPr>
            </w:pPr>
          </w:p>
        </w:tc>
        <w:tc>
          <w:tcPr>
            <w:tcW w:w="728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99"/>
              </w:rPr>
              <w:t>2</w:t>
            </w:r>
          </w:p>
        </w:tc>
        <w:tc>
          <w:tcPr>
            <w:tcW w:w="380" w:type="dxa"/>
            <w:vAlign w:val="bottom"/>
          </w:tcPr>
          <w:p>
            <w:pPr>
              <w:spacing w:after="0"/>
              <w:rPr>
                <w:sz w:val="21"/>
                <w:szCs w:val="21"/>
                <w:color w:val="auto"/>
              </w:rPr>
            </w:pPr>
          </w:p>
        </w:tc>
      </w:tr>
      <w:tr>
        <w:trPr>
          <w:trHeight w:val="250"/>
        </w:trPr>
        <w:tc>
          <w:tcPr>
            <w:tcW w:w="10280" w:type="dxa"/>
            <w:vAlign w:val="bottom"/>
            <w:gridSpan w:val="23"/>
          </w:tcPr>
          <w:p>
            <w:pPr>
              <w:spacing w:after="0"/>
              <w:rPr>
                <w:sz w:val="20"/>
                <w:szCs w:val="20"/>
                <w:color w:val="auto"/>
              </w:rPr>
            </w:pPr>
            <w:r>
              <w:rPr>
                <w:rFonts w:ascii="Arial" w:cs="Arial" w:eastAsia="Arial" w:hAnsi="Arial"/>
                <w:sz w:val="18"/>
                <w:szCs w:val="18"/>
                <w:color w:val="0000FF"/>
              </w:rPr>
              <w:t>Summary of Risk Factors</w:t>
            </w:r>
          </w:p>
        </w:tc>
        <w:tc>
          <w:tcPr>
            <w:tcW w:w="560" w:type="dxa"/>
            <w:vAlign w:val="bottom"/>
            <w:gridSpan w:val="2"/>
          </w:tcPr>
          <w:p>
            <w:pPr>
              <w:jc w:val="center"/>
              <w:ind w:left="291"/>
              <w:spacing w:after="0"/>
              <w:rPr>
                <w:sz w:val="20"/>
                <w:szCs w:val="20"/>
                <w:color w:val="auto"/>
              </w:rPr>
            </w:pPr>
            <w:r>
              <w:rPr>
                <w:rFonts w:ascii="Arial" w:cs="Arial" w:eastAsia="Arial" w:hAnsi="Arial"/>
                <w:sz w:val="18"/>
                <w:szCs w:val="18"/>
                <w:color w:val="0000FF"/>
                <w:w w:val="99"/>
              </w:rPr>
              <w:t>3</w:t>
            </w:r>
          </w:p>
        </w:tc>
        <w:tc>
          <w:tcPr>
            <w:tcW w:w="380" w:type="dxa"/>
            <w:vAlign w:val="bottom"/>
          </w:tcPr>
          <w:p>
            <w:pPr>
              <w:spacing w:after="0"/>
              <w:rPr>
                <w:sz w:val="21"/>
                <w:szCs w:val="21"/>
                <w:color w:val="auto"/>
              </w:rPr>
            </w:pPr>
          </w:p>
        </w:tc>
      </w:tr>
      <w:tr>
        <w:trPr>
          <w:trHeight w:val="291"/>
        </w:trPr>
        <w:tc>
          <w:tcPr>
            <w:tcW w:w="9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6"/>
          </w:tcPr>
          <w:p>
            <w:pPr>
              <w:jc w:val="center"/>
              <w:ind w:right="4380"/>
              <w:spacing w:after="0"/>
              <w:rPr>
                <w:sz w:val="20"/>
                <w:szCs w:val="20"/>
                <w:color w:val="auto"/>
              </w:rPr>
            </w:pPr>
            <w:r>
              <w:rPr>
                <w:rFonts w:ascii="Arial" w:cs="Arial" w:eastAsia="Arial" w:hAnsi="Arial"/>
                <w:sz w:val="18"/>
                <w:szCs w:val="18"/>
                <w:color w:val="auto"/>
                <w:w w:val="92"/>
              </w:rPr>
              <w:t>Part I</w:t>
            </w: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4"/>
              </w:rPr>
              <w:t>Business</w:t>
            </w:r>
          </w:p>
        </w:tc>
        <w:tc>
          <w:tcPr>
            <w:tcW w:w="8700" w:type="dxa"/>
            <w:vAlign w:val="bottom"/>
            <w:gridSpan w:val="21"/>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5</w:t>
            </w:r>
          </w:p>
        </w:tc>
        <w:tc>
          <w:tcPr>
            <w:tcW w:w="380" w:type="dxa"/>
            <w:vAlign w:val="bottom"/>
          </w:tcPr>
          <w:p>
            <w:pPr>
              <w:spacing w:after="0"/>
              <w:rPr>
                <w:sz w:val="19"/>
                <w:szCs w:val="19"/>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340" w:type="dxa"/>
            <w:vAlign w:val="bottom"/>
            <w:gridSpan w:val="22"/>
          </w:tcPr>
          <w:p>
            <w:pPr>
              <w:spacing w:after="0"/>
              <w:rPr>
                <w:sz w:val="20"/>
                <w:szCs w:val="20"/>
                <w:color w:val="auto"/>
              </w:rPr>
            </w:pPr>
            <w:r>
              <w:rPr>
                <w:rFonts w:ascii="Arial" w:cs="Arial" w:eastAsia="Arial" w:hAnsi="Arial"/>
                <w:sz w:val="18"/>
                <w:szCs w:val="18"/>
                <w:color w:val="0000FF"/>
              </w:rPr>
              <w:t>Risk Factors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18</w:t>
            </w: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9340" w:type="dxa"/>
            <w:vAlign w:val="bottom"/>
            <w:gridSpan w:val="22"/>
          </w:tcPr>
          <w:p>
            <w:pPr>
              <w:spacing w:after="0"/>
              <w:rPr>
                <w:sz w:val="20"/>
                <w:szCs w:val="20"/>
                <w:color w:val="auto"/>
              </w:rPr>
            </w:pPr>
            <w:r>
              <w:rPr>
                <w:rFonts w:ascii="Arial" w:cs="Arial" w:eastAsia="Arial" w:hAnsi="Arial"/>
                <w:sz w:val="18"/>
                <w:szCs w:val="18"/>
                <w:color w:val="0000FF"/>
              </w:rPr>
              <w:t>Unresolved Staff Comments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41</w:t>
            </w: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sz w:val="20"/>
                <w:szCs w:val="20"/>
                <w:color w:val="auto"/>
              </w:rPr>
            </w:pPr>
            <w:r>
              <w:rPr>
                <w:rFonts w:ascii="Arial" w:cs="Arial" w:eastAsia="Arial" w:hAnsi="Arial"/>
                <w:sz w:val="18"/>
                <w:szCs w:val="18"/>
                <w:color w:val="0000FF"/>
              </w:rPr>
              <w:t>Properties</w:t>
            </w:r>
          </w:p>
        </w:tc>
        <w:tc>
          <w:tcPr>
            <w:tcW w:w="7300" w:type="dxa"/>
            <w:vAlign w:val="bottom"/>
            <w:gridSpan w:val="12"/>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41</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6"/>
          </w:tcPr>
          <w:p>
            <w:pPr>
              <w:spacing w:after="0"/>
              <w:rPr>
                <w:sz w:val="20"/>
                <w:szCs w:val="20"/>
                <w:color w:val="auto"/>
              </w:rPr>
            </w:pPr>
            <w:r>
              <w:rPr>
                <w:rFonts w:ascii="Arial" w:cs="Arial" w:eastAsia="Arial" w:hAnsi="Arial"/>
                <w:sz w:val="18"/>
                <w:szCs w:val="18"/>
                <w:color w:val="0000FF"/>
                <w:w w:val="85"/>
              </w:rPr>
              <w:t>Legal Proceedings</w:t>
            </w:r>
          </w:p>
        </w:tc>
        <w:tc>
          <w:tcPr>
            <w:tcW w:w="8020" w:type="dxa"/>
            <w:vAlign w:val="bottom"/>
            <w:gridSpan w:val="16"/>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41</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340" w:type="dxa"/>
            <w:vAlign w:val="bottom"/>
            <w:gridSpan w:val="22"/>
          </w:tcPr>
          <w:p>
            <w:pPr>
              <w:spacing w:after="0"/>
              <w:rPr>
                <w:sz w:val="20"/>
                <w:szCs w:val="20"/>
                <w:color w:val="auto"/>
              </w:rPr>
            </w:pPr>
            <w:r>
              <w:rPr>
                <w:rFonts w:ascii="Arial" w:cs="Arial" w:eastAsia="Arial" w:hAnsi="Arial"/>
                <w:sz w:val="18"/>
                <w:szCs w:val="18"/>
                <w:color w:val="0000FF"/>
              </w:rPr>
              <w:t>Mine Safety Disclosures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41</w:t>
            </w:r>
          </w:p>
        </w:tc>
      </w:tr>
      <w:tr>
        <w:trPr>
          <w:trHeight w:val="291"/>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6"/>
          </w:tcPr>
          <w:p>
            <w:pPr>
              <w:jc w:val="center"/>
              <w:ind w:right="4360"/>
              <w:spacing w:after="0"/>
              <w:rPr>
                <w:sz w:val="20"/>
                <w:szCs w:val="20"/>
                <w:color w:val="auto"/>
              </w:rPr>
            </w:pPr>
            <w:r>
              <w:rPr>
                <w:rFonts w:ascii="Arial" w:cs="Arial" w:eastAsia="Arial" w:hAnsi="Arial"/>
                <w:sz w:val="18"/>
                <w:szCs w:val="18"/>
                <w:color w:val="auto"/>
                <w:w w:val="95"/>
              </w:rPr>
              <w:t>Part II</w:t>
            </w: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21"/>
          </w:tcPr>
          <w:p>
            <w:pPr>
              <w:spacing w:after="0"/>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26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42</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080" w:type="dxa"/>
            <w:vAlign w:val="bottom"/>
            <w:gridSpan w:val="21"/>
          </w:tcPr>
          <w:p>
            <w:pPr>
              <w:spacing w:after="0"/>
              <w:rPr>
                <w:sz w:val="20"/>
                <w:szCs w:val="20"/>
                <w:color w:val="auto"/>
              </w:rPr>
            </w:pPr>
            <w:r>
              <w:rPr>
                <w:rFonts w:ascii="Arial" w:cs="Arial" w:eastAsia="Arial" w:hAnsi="Arial"/>
                <w:sz w:val="18"/>
                <w:szCs w:val="18"/>
                <w:color w:val="0000FF"/>
              </w:rPr>
              <w:t>Reserved</w:t>
            </w:r>
          </w:p>
        </w:tc>
        <w:tc>
          <w:tcPr>
            <w:tcW w:w="1260" w:type="dxa"/>
            <w:vAlign w:val="bottom"/>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43</w:t>
            </w:r>
          </w:p>
        </w:tc>
      </w:tr>
      <w:tr>
        <w:trPr>
          <w:trHeight w:val="20"/>
        </w:trPr>
        <w:tc>
          <w:tcPr>
            <w:tcW w:w="94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7.</w:t>
            </w:r>
          </w:p>
        </w:tc>
        <w:tc>
          <w:tcPr>
            <w:tcW w:w="6400" w:type="dxa"/>
            <w:vAlign w:val="bottom"/>
            <w:gridSpan w:val="19"/>
          </w:tcPr>
          <w:p>
            <w:pPr>
              <w:spacing w:after="0"/>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2940" w:type="dxa"/>
            <w:vAlign w:val="bottom"/>
            <w:gridSpan w:val="3"/>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44</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40" w:type="dxa"/>
            <w:vAlign w:val="bottom"/>
            <w:gridSpan w:val="3"/>
          </w:tcPr>
          <w:p>
            <w:pPr>
              <w:spacing w:after="0"/>
              <w:rPr>
                <w:sz w:val="21"/>
                <w:szCs w:val="21"/>
                <w:color w:val="auto"/>
              </w:rPr>
            </w:pPr>
          </w:p>
        </w:tc>
        <w:tc>
          <w:tcPr>
            <w:tcW w:w="2940" w:type="dxa"/>
            <w:vAlign w:val="bottom"/>
            <w:gridSpan w:val="3"/>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59</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6"/>
          </w:tcPr>
          <w:p>
            <w:pPr>
              <w:spacing w:after="0"/>
              <w:rPr>
                <w:sz w:val="20"/>
                <w:szCs w:val="20"/>
                <w:color w:val="auto"/>
              </w:rPr>
            </w:pPr>
            <w:r>
              <w:rPr>
                <w:rFonts w:ascii="Arial" w:cs="Arial" w:eastAsia="Arial" w:hAnsi="Arial"/>
                <w:sz w:val="18"/>
                <w:szCs w:val="18"/>
                <w:color w:val="0000FF"/>
              </w:rPr>
              <w:t>Financial Statements and Supplementary Data</w:t>
            </w:r>
          </w:p>
        </w:tc>
        <w:tc>
          <w:tcPr>
            <w:tcW w:w="4980" w:type="dxa"/>
            <w:vAlign w:val="bottom"/>
            <w:gridSpan w:val="6"/>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60</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9.</w:t>
            </w:r>
          </w:p>
        </w:tc>
        <w:tc>
          <w:tcPr>
            <w:tcW w:w="9340" w:type="dxa"/>
            <w:vAlign w:val="bottom"/>
            <w:gridSpan w:val="22"/>
          </w:tcPr>
          <w:p>
            <w:pPr>
              <w:spacing w:after="0"/>
              <w:rPr>
                <w:sz w:val="20"/>
                <w:szCs w:val="20"/>
                <w:color w:val="auto"/>
              </w:rPr>
            </w:pPr>
            <w:r>
              <w:rPr>
                <w:rFonts w:ascii="Arial" w:cs="Arial" w:eastAsia="Arial" w:hAnsi="Arial"/>
                <w:sz w:val="18"/>
                <w:szCs w:val="18"/>
                <w:color w:val="0000FF"/>
              </w:rPr>
              <w:t>Changes in and Disagreement with Accountants on Accounting and Financial Disclosure</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92</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9A.</w:t>
            </w:r>
          </w:p>
        </w:tc>
        <w:tc>
          <w:tcPr>
            <w:tcW w:w="640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2940" w:type="dxa"/>
            <w:vAlign w:val="bottom"/>
            <w:gridSpan w:val="3"/>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92</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6"/>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gridSpan w:val="2"/>
          </w:tcPr>
          <w:p>
            <w:pPr>
              <w:spacing w:after="0"/>
              <w:rPr>
                <w:sz w:val="21"/>
                <w:szCs w:val="21"/>
                <w:color w:val="auto"/>
              </w:rPr>
            </w:pPr>
          </w:p>
        </w:tc>
        <w:tc>
          <w:tcPr>
            <w:tcW w:w="7580" w:type="dxa"/>
            <w:vAlign w:val="bottom"/>
            <w:gridSpan w:val="14"/>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92</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9C.</w:t>
            </w:r>
          </w:p>
        </w:tc>
        <w:tc>
          <w:tcPr>
            <w:tcW w:w="4900" w:type="dxa"/>
            <w:vAlign w:val="bottom"/>
            <w:gridSpan w:val="17"/>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4440" w:type="dxa"/>
            <w:vAlign w:val="bottom"/>
            <w:gridSpan w:val="5"/>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92</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91"/>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6"/>
          </w:tcPr>
          <w:p>
            <w:pPr>
              <w:jc w:val="center"/>
              <w:ind w:right="4380"/>
              <w:spacing w:after="0"/>
              <w:rPr>
                <w:sz w:val="20"/>
                <w:szCs w:val="20"/>
                <w:color w:val="auto"/>
              </w:rPr>
            </w:pPr>
            <w:r>
              <w:rPr>
                <w:rFonts w:ascii="Arial" w:cs="Arial" w:eastAsia="Arial" w:hAnsi="Arial"/>
                <w:sz w:val="18"/>
                <w:szCs w:val="18"/>
                <w:color w:val="auto"/>
                <w:w w:val="97"/>
              </w:rPr>
              <w:t>Part III</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5"/>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5240" w:type="dxa"/>
            <w:vAlign w:val="bottom"/>
            <w:gridSpan w:val="7"/>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93</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5"/>
          </w:tcPr>
          <w:p>
            <w:pPr>
              <w:spacing w:after="0"/>
              <w:rPr>
                <w:sz w:val="20"/>
                <w:szCs w:val="20"/>
                <w:color w:val="auto"/>
              </w:rPr>
            </w:pPr>
            <w:r>
              <w:rPr>
                <w:rFonts w:ascii="Arial" w:cs="Arial" w:eastAsia="Arial" w:hAnsi="Arial"/>
                <w:sz w:val="18"/>
                <w:szCs w:val="18"/>
                <w:color w:val="0000FF"/>
              </w:rPr>
              <w:t>Executive Compensation</w:t>
            </w:r>
          </w:p>
        </w:tc>
        <w:tc>
          <w:tcPr>
            <w:tcW w:w="5240" w:type="dxa"/>
            <w:vAlign w:val="bottom"/>
            <w:gridSpan w:val="7"/>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93</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12.</w:t>
            </w:r>
          </w:p>
        </w:tc>
        <w:tc>
          <w:tcPr>
            <w:tcW w:w="9340" w:type="dxa"/>
            <w:vAlign w:val="bottom"/>
            <w:gridSpan w:val="2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93</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2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2060" w:type="dxa"/>
            <w:vAlign w:val="bottom"/>
            <w:gridSpan w:val="2"/>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93</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8"/>
          </w:tcPr>
          <w:p>
            <w:pPr>
              <w:spacing w:after="0"/>
              <w:rPr>
                <w:sz w:val="20"/>
                <w:szCs w:val="20"/>
                <w:color w:val="auto"/>
              </w:rPr>
            </w:pPr>
            <w:r>
              <w:rPr>
                <w:rFonts w:ascii="Arial" w:cs="Arial" w:eastAsia="Arial" w:hAnsi="Arial"/>
                <w:sz w:val="18"/>
                <w:szCs w:val="18"/>
                <w:color w:val="0000FF"/>
              </w:rPr>
              <w:t>Principal Accountant Fees and Services</w:t>
            </w:r>
          </w:p>
        </w:tc>
        <w:tc>
          <w:tcPr>
            <w:tcW w:w="3900" w:type="dxa"/>
            <w:vAlign w:val="bottom"/>
            <w:gridSpan w:val="4"/>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93</w:t>
            </w:r>
          </w:p>
        </w:tc>
      </w:tr>
      <w:tr>
        <w:trPr>
          <w:trHeight w:val="29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80" w:type="dxa"/>
            <w:vAlign w:val="bottom"/>
            <w:gridSpan w:val="6"/>
          </w:tcPr>
          <w:p>
            <w:pPr>
              <w:jc w:val="center"/>
              <w:ind w:right="4380"/>
              <w:spacing w:after="0"/>
              <w:rPr>
                <w:sz w:val="20"/>
                <w:szCs w:val="20"/>
                <w:color w:val="auto"/>
              </w:rPr>
            </w:pPr>
            <w:r>
              <w:rPr>
                <w:rFonts w:ascii="Arial" w:cs="Arial" w:eastAsia="Arial" w:hAnsi="Arial"/>
                <w:sz w:val="18"/>
                <w:szCs w:val="18"/>
                <w:color w:val="auto"/>
                <w:w w:val="94"/>
              </w:rPr>
              <w:t>Part IV</w:t>
            </w: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13"/>
          </w:tcPr>
          <w:p>
            <w:pPr>
              <w:spacing w:after="0"/>
              <w:rPr>
                <w:sz w:val="20"/>
                <w:szCs w:val="20"/>
                <w:color w:val="auto"/>
              </w:rPr>
            </w:pPr>
            <w:r>
              <w:rPr>
                <w:rFonts w:ascii="Arial" w:cs="Arial" w:eastAsia="Arial" w:hAnsi="Arial"/>
                <w:sz w:val="18"/>
                <w:szCs w:val="18"/>
                <w:color w:val="0000FF"/>
                <w:w w:val="89"/>
              </w:rPr>
              <w:t>Exhibits, Financial Statement Schedules</w:t>
            </w:r>
          </w:p>
        </w:tc>
        <w:tc>
          <w:tcPr>
            <w:tcW w:w="6440" w:type="dxa"/>
            <w:vAlign w:val="bottom"/>
            <w:gridSpan w:val="9"/>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94</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440" w:type="dxa"/>
            <w:vAlign w:val="bottom"/>
            <w:gridSpan w:val="9"/>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0"/>
                <w:szCs w:val="20"/>
                <w:color w:val="auto"/>
              </w:rPr>
            </w:pPr>
            <w:r>
              <w:rPr>
                <w:rFonts w:ascii="Arial" w:cs="Arial" w:eastAsia="Arial" w:hAnsi="Arial"/>
                <w:sz w:val="18"/>
                <w:szCs w:val="18"/>
                <w:color w:val="auto"/>
              </w:rPr>
              <w:t>Item 16.</w:t>
            </w:r>
          </w:p>
        </w:tc>
        <w:tc>
          <w:tcPr>
            <w:tcW w:w="2900" w:type="dxa"/>
            <w:vAlign w:val="bottom"/>
            <w:gridSpan w:val="13"/>
          </w:tcPr>
          <w:p>
            <w:pPr>
              <w:spacing w:after="0"/>
              <w:rPr>
                <w:sz w:val="20"/>
                <w:szCs w:val="20"/>
                <w:color w:val="auto"/>
              </w:rPr>
            </w:pPr>
            <w:r>
              <w:rPr>
                <w:rFonts w:ascii="Arial" w:cs="Arial" w:eastAsia="Arial" w:hAnsi="Arial"/>
                <w:sz w:val="18"/>
                <w:szCs w:val="18"/>
                <w:color w:val="0000FF"/>
              </w:rPr>
              <w:t>Form 10-K Summary</w:t>
            </w:r>
          </w:p>
        </w:tc>
        <w:tc>
          <w:tcPr>
            <w:tcW w:w="6440" w:type="dxa"/>
            <w:vAlign w:val="bottom"/>
            <w:gridSpan w:val="9"/>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97</w:t>
            </w:r>
          </w:p>
        </w:tc>
      </w:tr>
      <w:tr>
        <w:trPr>
          <w:trHeight w:val="20"/>
        </w:trPr>
        <w:tc>
          <w:tcPr>
            <w:tcW w:w="9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800" w:type="dxa"/>
            <w:vAlign w:val="bottom"/>
            <w:gridSpan w:val="1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0000FF"/>
                <w:w w:val="85"/>
              </w:rPr>
              <w:t>Signatures</w:t>
            </w:r>
          </w:p>
        </w:tc>
        <w:tc>
          <w:tcPr>
            <w:tcW w:w="780" w:type="dxa"/>
            <w:vAlign w:val="bottom"/>
            <w:gridSpan w:val="4"/>
          </w:tcPr>
          <w:p>
            <w:pPr>
              <w:spacing w:after="0"/>
              <w:rPr>
                <w:sz w:val="21"/>
                <w:szCs w:val="21"/>
                <w:color w:val="auto"/>
              </w:rPr>
            </w:pPr>
          </w:p>
        </w:tc>
        <w:tc>
          <w:tcPr>
            <w:tcW w:w="7800" w:type="dxa"/>
            <w:vAlign w:val="bottom"/>
            <w:gridSpan w:val="15"/>
          </w:tcPr>
          <w:p>
            <w:pPr>
              <w:spacing w:after="0"/>
              <w:rPr>
                <w:sz w:val="21"/>
                <w:szCs w:val="21"/>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89"/>
              </w:rPr>
              <w:t>98</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Annual Report on Form 10-K, including the section entitled “Management’s Discussion and Analysis of Financial Condition and Results of Operations,”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and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growth and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publishers and expand the utilization of our buyers;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 consistent supply of quality advertising inventory;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competitive technological advantages against competitors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concerning the advertising industry, including the impact of macroeconomic conditions, inflation and rising interest rates;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new offerings and bring them to market in a timely manner;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to expand internationally;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of or investments in complementary companies or technologies;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evolving legal and industry standards and regulations, particularly concerning data protection and consumer privacy.</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and elsewhere in this Annual Report on Form 10-K. Moreover, we operate in a very competitive and rapidly changing environment, and new risks emerge from time to time. It is not possible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actual results or to changes in our expectations, except as required by law. You should read this Annual Report on Form 10-K and the documents that we reference in this Annual Report on Form 10-K and have filed with the Securities and Exchange Commission (the “SEC”), with the understanding that our actual future results, performance, and circumstances may be materially different from what we expect.</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indicated, the terms “PubMatic,” “we,” “us,” and “our” refer to PubMatic, Inc. and our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otherwise indicated, information contained in this Annual Report on Form 10-K concerning our industry and the markets in which we operate is based on information we obtained from industry publications and third-party research, surveys and studies, as well as assumptions that we have made that are based on that data and on our knowledge of the markets for our products and services. This information involves important assumptions and limitations, and are necessarily subject to a high degree of uncertainty and risk due to a variety of factors, including those described in “Risk Factors” and elsewhere in this this Annual Report on Form 10-K.</w:t>
      </w:r>
    </w:p>
    <w:p>
      <w:pPr>
        <w:spacing w:after="0" w:line="8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Annual Report on Form 10-K contains our trade names, trademarks, and service marks, including the PubMatic name and logo, and all product names. This Annual Report on Form 10-K may also contain the trade names, trademarks, and service marks of other companies. We do not intend our use or display of other companies’ trade names, trademarks, or service marks to imply a relationship with these other companies, or endorsement or sponsorship of us by these other companies. Other trademarks appearing in this Annual Report on Form 10-K are the property of their respective holders.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spacing w:after="0" w:line="4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 and results of operations are highly dependent on the overall demand for advertising.</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and may not meet our expectations or those of securities analysts and investors.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make the right investment decisions in our platform, or if we fail to innovate and develop new solutions that are adopted by publishers, we may not attract and retain publishers, which could have an adverse effect on our business, results of operations, and financial condition.</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scale our platform infrastructure to support anticipated growth and transaction volume. If we fail to do so, we may limit our ability to process ad impressions, and we may lose revenue.</w:t>
      </w:r>
    </w:p>
    <w:p>
      <w:pPr>
        <w:spacing w:after="0" w:line="102"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recently-completed acquisition of ConsultMates, Inc (dba “Martin”) presents risks and we must successfully integrate the Martin business to realize the strategic and financial goals that we currently anticipate.</w:t>
      </w:r>
    </w:p>
    <w:p>
      <w:pPr>
        <w:spacing w:after="0" w:line="95" w:lineRule="exact"/>
        <w:rPr>
          <w:rFonts w:ascii="Arial" w:cs="Arial" w:eastAsia="Arial" w:hAnsi="Arial"/>
          <w:sz w:val="22"/>
          <w:szCs w:val="22"/>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publishers, buyers, and data providers do not obtain necessary and requisite consents from consumers for us to process their personal data, we could be subject to fines and liability.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digital advertising industry is intensely competitive, and if we do not effectively compete against current and future competitors, our business, results of operations, and financial condition could be harmed.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pressure may reduce our revenue per impression.</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fluctuations or market changes in digital advertising activity could adversely affect our business, results of operations, and financial condition.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ad formats and digital device types develop in ways that prevent advertisements from being delivered to consumers, our business, results of operations, and financial condition generally, will be adversely affected.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depends on our ability to retain key members of our management team, and on our ability to hire, train, retain, and motivate new employees.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payment-related risks if demand-side platform (“DSP”) buyers dispute or do not pay their invoices, and any decreases in payments or in our overall take rate could adversely affect our business, results of operations,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international operations subject us to additional costs and risks, and our continued international expansion may not be successful.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and reliance upon technology and development resources in India may expose us to unanticipated costs and liabilities, which could affect our ability to realize cost savings from our operations in India.</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on third-party data centers, the disruption of which could adversely affect our business, results of operations, and financial condition.</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software platform could be susceptible to errors, defects, or unintended performance problems that could adversely affect our business, results of operations, and financial condition.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business success depends upon our ability to offer high-quality inventory with appropriate viewability capabilities.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constantly evolving laws, regulations and industry requirements related to data privacy, data protection, information security, and consumer protection across the markets we operate in.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intellectual property rights claims by third parties, which are costly to defend, could require us to pay significant damages and could limit our ability to use technology or intellectual property.</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maintain effective internal controls, our ability to produce accurate financial statements and other disclosures on a timely basis could be impaired.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charter documents and Delaware law could discourage takeover attempts and other corporate governance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return on investment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over-the-top (“OTT”), connected television (“CTV”), and rich media.</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written service agreements with our demand side platform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Supply Path Optimization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the digital advertising ecosystem continues to evolve, some of the key industry trends are: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Rapid Proliferation of Digital Media Across Multiple Platforms</w:t>
      </w:r>
      <w:r>
        <w:rPr>
          <w:rFonts w:ascii="Arial" w:cs="Arial" w:eastAsia="Arial" w:hAnsi="Arial"/>
          <w:sz w:val="17"/>
          <w:szCs w:val="17"/>
          <w:color w:val="auto"/>
        </w:rPr>
        <w:t>: Consumers have dramatically increased the amount of time that they spend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on mobile devices and numerous activities that historically occurred offline continue to shift online. In order to better reach consumers, every major media format has transitioned or is in the process of transitioning content from traditional or analog means of delivery to digital.</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The Rise of Programmatic Header Bidding</w:t>
      </w:r>
      <w:r>
        <w:rPr>
          <w:rFonts w:ascii="Arial" w:cs="Arial" w:eastAsia="Arial" w:hAnsi="Arial"/>
          <w:sz w:val="18"/>
          <w:szCs w:val="18"/>
          <w:color w:val="auto"/>
        </w:rPr>
        <w:t>: The challenges of scale and the complexity of the digital advertising ecosystem require an automated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approach to purchasing ads online, known as programmatic advertising. Programmatic advertising, on an automated basis, enables buyers, advertisers, and/or their ad agencies, to purchase ad impressions on publisher supplied inventory, including websites, apps, TVs, and various other formats to transact within milliseconds in a sophisticated, technology-driven marketplace.</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Header bidding, which came to prominence starting in 2016, further increased the complexity of programmatic advertising. Header bidding involves putting software code on a publisher’s website or app allowing it to host a single parallel auction with multiple interested parties simultaneously, rather than the earlier process of sequential auctions for that impression. This innovation has fundamentally transformed programmatic advertising by providing buyers with increased transparency and equal access to ad impressions, which results in greater demand for each ad impression and increased publisher revenue.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Massive Volumes of Data and Increased Costs</w:t>
      </w:r>
      <w:r>
        <w:rPr>
          <w:rFonts w:ascii="Arial" w:cs="Arial" w:eastAsia="Arial" w:hAnsi="Arial"/>
          <w:sz w:val="16"/>
          <w:szCs w:val="16"/>
          <w:color w:val="auto"/>
        </w:rPr>
        <w:t>: Header bidding has led to a significant increase in the number of ad impressions that need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processed and analyzed in real-time by each participant in the digital advertising ecosystem. As consumers increasingly engage with digital media, and as advertisers bid on a growing array of ad formats and impressions, an immense amount of data is generated. The data includes anonymized consumer information about interests and intent, log files of winning and losing advertiser bids, and transaction records for billing and payment reconciliation. Technology infrastructure platforms must rapidly process this data while offering a seamless digital ad experience for consumers.</w:t>
      </w:r>
    </w:p>
    <w:p>
      <w:pPr>
        <w:spacing w:after="0" w:line="5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Growing transaction volumes and increasingly complex data processing requirements can lead to rising overall costs for technology vendors. While header bidding increases the number of SSPs processing each ad impression, the underlying number of opportunities to place a personalized ad in front of a consumer does not grow, which creates processing complexity. Similarly, as SSPs process more ad impressions due to header bidding, so must DSPs. Each of these trends created by header bidding can significantly increase costs for technology providers if not properly addressed with superior technology.</w:t>
      </w:r>
    </w:p>
    <w:p>
      <w:pPr>
        <w:spacing w:after="0" w:line="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Ad Spending Consolidating on Fewer Sell Side Platforms</w:t>
      </w:r>
      <w:r>
        <w:rPr>
          <w:rFonts w:ascii="Arial" w:cs="Arial" w:eastAsia="Arial" w:hAnsi="Arial"/>
          <w:sz w:val="18"/>
          <w:szCs w:val="18"/>
          <w:color w:val="auto"/>
        </w:rPr>
        <w:t>: As advertisers increase the percentage of their overall advertising budgets spent on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formats, they are increasingly demanding improved transparency and control of their entire digital advertising supply chain. Transparency includes understanding what fees are being paid for every ad transaction, to whom the fees are being paid, and what value is being delivered by every fee recipient. In addition, transparency allows the advertiser to know the type of ad inventory being purchased and the content appearing adjacent to the advertiser’s ads to avoid purchasing fraudulent or fake inventory or appearing next to content that reflects poorly on the advertiser’s brand. This desire for transparency and control has led to a growing trend for advertisers to establish direct relationships with vendors in the digital advertising ecosystem that have transparent business practices and technical capabilities to meet their objectives. This has resulted in a larger portion of media spend consolidating onto fewer, more transparent technology platforms.</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Protecting Consumer Privacy and Regulatory Challenges</w:t>
      </w:r>
      <w:r>
        <w:rPr>
          <w:rFonts w:ascii="Arial" w:cs="Arial" w:eastAsia="Arial" w:hAnsi="Arial"/>
          <w:sz w:val="17"/>
          <w:szCs w:val="17"/>
          <w:color w:val="auto"/>
        </w:rPr>
        <w:t>: There is an increasing awareness of how Internet user data is being leveraged to target ads,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in a growing number of privacy laws and regulations being established globally, including the General Data Protection Regulation (the “GDPR”) in the European Union, the California Consumer Privacy Act (the “CCPA”) and California Privacy Rights Act (the “CPRA”) in California, and the Video Privacy Protection Act in the United States. We believe these trends will continue locally and globally. There have also been a growing number of consumer-focused non-profit organizations and commercial entities advocating for privacy rights. These institutions are enabling Internet consumers to assert their rights over the use of their online data in advertising transactions, a trend which we support.</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digital advertising landscape must continue to adapt to these trends and incorporate awareness of consumer privacy and compliance with regulatory authorities. For example, publishers, and their downstream supply and demand partners, are required to obtain unambiguous opt-in consent from European Union data subjects to process their personal data. In addition to legal and policy requirements, participants in the digital advertising supply chain were encouraged to agree upon technical specifications to collect and transmit detailed records of consent (or an alternative basis for the processing of personal data) and the purposes of that data processing. This demand resulted in widespread adoption of the Interactive Advertising Bureau (the “IAB”) Transparency &amp; Consent Framework 2.0 (the “TCF”) in August 2020. Prior to the TCF, dueling technical standards resulted in industry-wide confusion following adoption of the GDPR.</w:t>
      </w:r>
    </w:p>
    <w:p>
      <w:pPr>
        <w:spacing w:after="0" w:line="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Over the years, Apple has greatly limited the use of third-party cookies within its web browser (Safari’s Intelligent Tracking Prevention) and recently announced the decision to make the app-based Identifier for Advertisers (the “IDFA”) opt-in by consumers rather than opt-out. Google is also, along with Apple, leading an active industry dialog to deliver the next wave of privacy compliant advertising solutions. Google announced its intention to limit the use of third-party cookies starting in 2024 in its Chrome web browser, as well as limit the use of alternate user-level tracking technologies and browsing history in its own ad platforms. We believe the “Open Internet” outside the “walled gardens” (a colloquial term that refers to closed advertising platforms including Google and Facebook) will shift from targeting by anonymized and invisible third-party cookies or identifiers to known identities based on consumer choice and opt-in. This shift towards significantly more reliable and accurate consumer identity has the potential to significantly increase advertiser ROI and therefore publisher revenue.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Role in the Digital Advertising Ecosystem</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platform is a key component of powering the digital advertising ecosystem because of the role we play in meeting the needs of ad sellers and ad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48895</wp:posOffset>
            </wp:positionV>
            <wp:extent cx="5349240" cy="2186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Publishers and App Developers. </w:t>
      </w:r>
      <w:r>
        <w:rPr>
          <w:rFonts w:ascii="Arial" w:cs="Arial" w:eastAsia="Arial" w:hAnsi="Arial"/>
          <w:sz w:val="18"/>
          <w:szCs w:val="18"/>
          <w:color w:val="auto"/>
        </w:rPr>
        <w:t>Publishers and app developers create websites and apps that contain content for consumers along with adjacent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viewable space for advertisements. As consumers navigate through these websites and apps, individual ad impressions are shown to them. These impressions are typically sold to buyers programmatically in real-time via a third-party technology infrastructure platform or SSP. Publishers and app developers rely on advertising revenue as the key driver for their businesses and rely on the capabilities of these third parties in order to achieve optimal yield for their advertising inventory.</w:t>
      </w:r>
    </w:p>
    <w:p>
      <w:pPr>
        <w:spacing w:after="0" w:line="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primarily work with publishers and app developers who allow us direct access to their ad inventory, as well as select channel partners that meet our quality and scale thresholds. We have direct relationships with publishers such as Yahoo, formerly Verizon Media Group, and News Corp. and app developers such as Zynga and Electronic Arts. Our channel partners aggregate and provide further access to thousands of sites and apps from smaller publishers. We refer to our publishers, app developers, and channel partners collectively as our publishers.</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help monetize valuable impressions for our publisher clients across a wide array of ad formats and digital device types, including mobile app, mobile web, desktop, display, video, OTT/CTV, and rich media. During the fiscal year ended December 31, 2022, we had a net increase of approximately 200 publishing partners. As of December 31, 2022, we served approximately 1,650 publishers and app developers, representing over 92,000 individual domains and apps worldwide on our platform across a diverse group of content verticals including news, e-commerce, gaming, media, weather, fashion, technology, and more.</w:t>
      </w:r>
    </w:p>
    <w:p>
      <w:pPr>
        <w:spacing w:after="0" w:line="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Sell Side Platforms. </w:t>
      </w:r>
      <w:r>
        <w:rPr>
          <w:rFonts w:ascii="Arial" w:cs="Arial" w:eastAsia="Arial" w:hAnsi="Arial"/>
          <w:sz w:val="17"/>
          <w:szCs w:val="17"/>
          <w:color w:val="auto"/>
        </w:rPr>
        <w:t>Traditionally referred to as sell side platforms or SSPs, platforms such as ours are designed to monetize inventory for publishers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app developers. Buyers and sellers come together through our marketplace to present, target, and purchase available advertising inventory. Our platform rapidly and efficiently processes significant volumes of ad bid data, providing a seamless digital experience for consumers. Traditionally, SSPs have focused exclusively on the needs of sellers in this process, and have limited their interactions with buyers to the buyer’s agent, the demand side platform or DSP. As buyers have sought greater control of their advertising supply chains, we have extended the capabilities of our specialized cloud infrastructure platform over the last several years to serve the needs of advertisers and agencies as well.</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Demand Side Platforms. </w:t>
      </w:r>
      <w:r>
        <w:rPr>
          <w:rFonts w:ascii="Arial" w:cs="Arial" w:eastAsia="Arial" w:hAnsi="Arial"/>
          <w:sz w:val="17"/>
          <w:szCs w:val="17"/>
          <w:color w:val="auto"/>
        </w:rPr>
        <w:t>Advertisers and agencies often engage demand side platforms, which act as advertising demand aggregators, to execute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digital marketing campaigns across various ad formats. We are integrated with the leading DSPs around the world, such as The Trade Desk and Google DV360, enabling them to execute real-time transactions with our publisher clients. We maintain active integrations with DSPs around the world, some of which are global and omnichannel in nature or more narrowly targeted on specific ad formats or geographic markets.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Advertisers and Agencies. </w:t>
      </w:r>
      <w:r>
        <w:rPr>
          <w:rFonts w:ascii="Arial" w:cs="Arial" w:eastAsia="Arial" w:hAnsi="Arial"/>
          <w:sz w:val="18"/>
          <w:szCs w:val="18"/>
          <w:color w:val="auto"/>
        </w:rPr>
        <w:t>Spending begins with advertisers, who often engage advertising agencies to help plan and execute their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campaigns. To better control and optimize their advertising operations, advertisers and agencies are consolidating their spend with fewer, larger technology platforms who can deliver transparency and ensure the highest levels of inventory quality and control.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entered into agreements with all of the major agency holding companies and some of the largest advertisers in the world and believe this will continue to drive more ad spend to our platform. These advertisers and agencies access our platform through DSPs. We believe our purpose-built technology platform and direct relationships with advertisers and agencies will lead to significant consolidation of spend onto our platform.</w:t>
      </w:r>
    </w:p>
    <w:p>
      <w:pPr>
        <w:spacing w:after="0" w:line="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Buyers on our platform include DSPs, agencies and individual advertisers. We have broad exposure to the ecosystem of buyers, reaching on average approximately 75,000 advertisers per month in 2022. As spending on programmatic advertising increasingly becomes a larger share of overall ad spending, advertisers and agencies are seeking greater control of their digital advertising supply chains. To take advantage of this industry shift, we have entered into SPO agreements directly with buyers. As a result of these direct relationships, our existing advertisers and agencies are incentivized to allocate an increasing percentage of their advertising budgets to our platform.</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Two of our largest DSP relationships are with Google and The Trade Desk. We are party to an agreement with Google LLC, under which Google is a buyer on our platform. The initial one-year term of the current agreement ended in May 2019, and it automatically renews for successive one-year terms unless either party provides written notice at least 60 days’ prior to the end of the initial term or such successive terms. Either party may terminate for convenience upon providing at least 30 days’ prior written notice. We signed a prior similar agreement with a Google subsidiary in 2012. We are also party to an agreement with The Trade Desk, Inc., under which The Trade Desk is a buyer on our platform. The initial term of the agreement ended in November 2013, and it automatically renews for successive one-year terms. Either party may terminate for convenience upon providing at least 30 days’ prior written notice.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Specialized Cloud Infrastructure Platform</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specialized cloud infrastructure enables real-time programmatic advertising transactions in a market characterized by significant data and impression volumes, regulatory complexity, and increased focus on transparency and privacy. We have built, enhanced and deployed our technology infrastructure to address these market conditions and provide superior outcomes for both publishers and buyers. We have deployed our purpose-built infrastructure globally in order to serve our customers with the high-speed transaction capabilities required to provide a seamless digital ad experience for consumers. Our offering is omnichannel and targets a diverse set of publishers touching many ad formats, and digital device types, including mobile app, mobile web, desktop, display, video, OTT/CTV, and rich media.</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specialized cloud infrastructure provides a number of advantages: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Real-time Ad Transaction Processing</w:t>
      </w:r>
      <w:r>
        <w:rPr>
          <w:rFonts w:ascii="Arial" w:cs="Arial" w:eastAsia="Arial" w:hAnsi="Arial"/>
          <w:sz w:val="18"/>
          <w:szCs w:val="18"/>
          <w:color w:val="auto"/>
        </w:rPr>
        <w:t>: Our specialized cloud infrastructure is designed for the rapid and efficient processing of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programmatic ad transactions and the aggregation and analysis of the significant data accompanying each transaction. We power our cloud platform by proprietary software deployed on PubMatic-owned and operated hardware close to our customers around the world. Our technology platform processes each potential ad in a fraction of a second to optimize the consumer ad experience. For the fiscal year ended December 31, 2022, our platform efficiently processed approximately 159.1 trillion ad impressions, up 72% from approximately 92.2 trillion ad impressions in the fiscal year ended December 31, 2021.</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Sophisticated, Purpose-built Technology that Delivers Superior Outcomes</w:t>
      </w:r>
      <w:r>
        <w:rPr>
          <w:rFonts w:ascii="Arial" w:cs="Arial" w:eastAsia="Arial" w:hAnsi="Arial"/>
          <w:sz w:val="18"/>
          <w:szCs w:val="18"/>
          <w:color w:val="auto"/>
        </w:rPr>
        <w:t>: Since our founding, we have believed that data-driven decisions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future of advertising and have accordingly invested in developing our machine learning capabilities. By harnessing our massive data assets and advanced machine learning capabilities, we are able to deliver superior outcomes by increasing advertiser ROI and publisher revenue, while increasing the cost efficiency of our platform and our customers’ and partners’ businesses.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Transparency and Quality: </w:t>
      </w:r>
      <w:r>
        <w:rPr>
          <w:rFonts w:ascii="Arial" w:cs="Arial" w:eastAsia="Arial" w:hAnsi="Arial"/>
          <w:sz w:val="17"/>
          <w:szCs w:val="17"/>
          <w:color w:val="auto"/>
        </w:rPr>
        <w:t>We operate on a fundamental principle of transparency, being one of the first digital advertising infrastructure platforms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log-level data to buyers and provide transparency on every ad impression. In addition, advertisers utilizing our cloud infrastructure have full control over which publishers, ad formats, and specific ad impressions on which they would like to bid. We are among the first to offer a fraud-free program in 2017 where buyers are credited for any fraudulent inventory they may have purchased on our platform.</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Enabling Identity on the Open Internet: </w:t>
      </w:r>
      <w:r>
        <w:rPr>
          <w:rFonts w:ascii="Arial" w:cs="Arial" w:eastAsia="Arial" w:hAnsi="Arial"/>
          <w:sz w:val="18"/>
          <w:szCs w:val="18"/>
          <w:color w:val="auto"/>
        </w:rPr>
        <w:t>As advertising in the Open Internet shifts from targeting by anonymized and invisible third-party cookies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must opt out of, and instead towards known first-party identity based on consumer choice and opt-in or other privacy compliant solutions, publishers and advertisers must transition to a new identity paradigm. While there are various constituents across the digital advertising industry creating new identity solutions, we have built a comprehensive platform that greatly simplifies the implementation and ongoing management of identity solution providers. Our solution allows for the use of many of the leading identifiers in a scaled and privacy-compliant fashion resulting in increased publisher revenue and buyer ROI.</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Scalable, Self-service Platform</w:t>
      </w:r>
      <w:r>
        <w:rPr>
          <w:rFonts w:ascii="Arial" w:cs="Arial" w:eastAsia="Arial" w:hAnsi="Arial"/>
          <w:sz w:val="17"/>
          <w:szCs w:val="17"/>
          <w:color w:val="auto"/>
        </w:rPr>
        <w:t>: Our cloud infrastructure solutions are available via self-serve, including an easy-to-use customer user interface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set of application programming interfaces that allow our publisher customers to configure new inventory, extend into new geographies or ad formats, review reporting insights, and manage and track payments and billing cycles. Our platform also assists with managing the increasingly complex compliance burdens brought on by new industry guidelines and government regulations. We provide the tools and the mechanisms to help enable publisher inventory to be in compliance with these norms and requirements, maintaining strong data minimization practices, and allocating responsibility for data flows and legal compliance in agreements with vendors, publishers, and buyers.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Publishers are actively seeking to maximize the value of their ad inventory, and buyers are seeking to increase advertising ROI. We believe that our specialized cloud infrastructure, rapid innovation, and transparent business model provide incentives to ad buyers to consolidate an increasing share of their total digital spend on our platform. At the same time, our direct publisher relationships, omnichannel header bidding capabilities, global scale, and access to incremental advertiser demand through direct relationships with buyers drive superior yield for publishers.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following strengths provide us with long-term competitive advantages: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Investment in Innovation</w:t>
      </w:r>
      <w:r>
        <w:rPr>
          <w:rFonts w:ascii="Arial" w:cs="Arial" w:eastAsia="Arial" w:hAnsi="Arial"/>
          <w:sz w:val="18"/>
          <w:szCs w:val="18"/>
          <w:color w:val="auto"/>
        </w:rPr>
        <w:t>: Our business model driven by our technology platform, owned infrastructure, and offshore research and development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enabled us to continuously invest in driving innovation, while delivering both top line revenue growth and profitability.</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Flexible Platform and Culture of Rapid Innovation</w:t>
      </w:r>
      <w:r>
        <w:rPr>
          <w:rFonts w:ascii="Arial" w:cs="Arial" w:eastAsia="Arial" w:hAnsi="Arial"/>
          <w:sz w:val="17"/>
          <w:szCs w:val="17"/>
          <w:color w:val="auto"/>
        </w:rPr>
        <w:t>: We built our company and our technology platform to be highly dynamic and to support rapid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innovation. Our product and development teams are focused on continuous innovation and enhancement of our products and solutions. We believe that the flexibility of our platform and responsiveness to evolving customer needs and technical requirements enables us to achieve superior outcomes for our customers. Since our founding, we have invested significantly in a software ideation, development, build, test, and deployment process that allows us to routinely convert a requirement into working software within two weeks or less. Our platform is highly modular, which allows us to innovate and improve individual software components without affecting the rest of the platform. We utilize a microservices architecture to interconnect each module via application programming interfaces with defined interfaces for internal and external consumption. We focus on reliability and scalability of each individual module and across our platform to maximize uptime and scale up based on customer demand. In 2022, we released new software across our global infrastructure approximately 90 times. The result of our flexible platform and culture of rapid innovation is that we are highly responsive to evolving customer needs, which we believe is important in a rapidly evolving digital advertising industry.</w:t>
      </w:r>
    </w:p>
    <w:p>
      <w:pPr>
        <w:spacing w:after="0" w:line="7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Highly Efficient Infrastructure</w:t>
      </w:r>
      <w:r>
        <w:rPr>
          <w:rFonts w:ascii="Arial" w:cs="Arial" w:eastAsia="Arial" w:hAnsi="Arial"/>
          <w:sz w:val="16"/>
          <w:szCs w:val="16"/>
          <w:color w:val="auto"/>
        </w:rPr>
        <w:t>: As a result of our long-term, internal development efforts on our technology stack and strategic approach of owning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own hardware, we believe that we have among the lowest cost infrastructures of any specialized cloud infrastructure platform in the advertising market. We own and operate our proprietary software and hardware infrastructure around the world. This approach saves significant costs compared to companies that rely on public cloud alternatives due to the data-intensive nature of digital advertising and the immense volume of ad impressions created by header bidding. As a result, our cost of revenue per impression processed decreased by 19% in 2022 compared to 2021, and decreased by 28% in 2021 compared to 2020. Even as we grow the applicability of our cloud infrastructure to include more ad formats and devices, such as mobile, video, and now OTT/CTV, we have maintained strong capital efficiency as measured by revenue per dollar of capital expenditures. The efficiency of our infrastructure has enabled us to grow our access to first-party data, which generally refers to customer owned audience data, ad impression and bid request data, and advertiser bid response data, further driving superior results across our platform for buyers and sellers.</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Machine Learning and Data Processing</w:t>
      </w:r>
      <w:r>
        <w:rPr>
          <w:rFonts w:ascii="Arial" w:cs="Arial" w:eastAsia="Arial" w:hAnsi="Arial"/>
          <w:sz w:val="18"/>
          <w:szCs w:val="18"/>
          <w:color w:val="auto"/>
        </w:rPr>
        <w:t>: We leverage our artificial intelligence and machine learning capabilities to record, aggregate, analyze,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on vast amounts of data to help our customers optimize their digital advertising businesses in real-time. In December 2022, our technology platform processed approximately 524 billion ad impressions and 7.4 petabytes of data every day. This data includes first party customer owned audience data, ad impression and bid request data, and advertiser bid response data. We flow all of this data through our machine learning platform in order to run thousands of algorithmic iterations on trillions of data points per month. These capabilities improves long term marketplace liquidity resulting in increased publisher revenue and higher advertiser ROI.</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Customer Trust and Alignment</w:t>
      </w:r>
      <w:r>
        <w:rPr>
          <w:rFonts w:ascii="Arial" w:cs="Arial" w:eastAsia="Arial" w:hAnsi="Arial"/>
          <w:sz w:val="17"/>
          <w:szCs w:val="17"/>
          <w:color w:val="auto"/>
        </w:rPr>
        <w:t>: We are aligned with both publishers and buyers, by being an independent and transparent infrastructure provider.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 not own media and therefore do not have a vested interest in driving ad revenue to specific media properties. We do not take a position in media or arbitrage media. We operate with a fundamental principle of transparency and provide detailed insights into fees to our customers. Our customers can therefore be confident that our algorithmic software decisions and our guidance are independent and in their best interests. Our trusted status has enabled us to build direct relationships with publishers, advertisers, agencies, and DSPs. Our ability to meet the demands of both buyers and inventory sellers enables us to produce superior outcomes for all industry participants.</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Global, Omnichannel Reach</w:t>
      </w:r>
      <w:r>
        <w:rPr>
          <w:rFonts w:ascii="Arial" w:cs="Arial" w:eastAsia="Arial" w:hAnsi="Arial"/>
          <w:sz w:val="17"/>
          <w:szCs w:val="17"/>
          <w:color w:val="auto"/>
        </w:rPr>
        <w:t>: We are a global business with distributed critical infrastructure and a go-to-market presence in every major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in the world outside of China. Many of our publisher customers have diversified businesses with media properties and audiences across the globe and with a wide variety of ad products including display and video ads across desktop, tablet, mobile, and connected TV devices. Similarly, many of our advertiser and agency customers have brand portfolios that span the globe with a variety of ad campaign requirements – from branding to performance, to combinations thereof. All of these parties actively seek global, omnichannel platform providers that can solve for their needs around the world and across ad formats and devices. By providing global, omnichannel reach of our infrastructure, we are well positioned to help publishers and ad buyers make their advertising businesses more efficient and effective.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we are positioned to benefit from tailwinds in the advertising industry, including the rapid proliferation of digital media, the need for purpose-built infrastructure to address the increasing complexity in the digital advertising landscape, and increasing consumer time spent online. Our growth strategy includes:</w:t>
      </w:r>
    </w:p>
    <w:p>
      <w:pPr>
        <w:spacing w:after="0" w:line="7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i w:val="1"/>
          <w:iCs w:val="1"/>
          <w:color w:val="auto"/>
        </w:rPr>
        <w:t>Attract New Publishers and Expand our Relationship with Existing Publishers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constantly seek to acquire new high-quality publishers around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world. New publishers may include major media companies, app developers, e-commerce providers, and OTT platforms– any company that monetizes its audience through digital advertising. Once acquired, we seek to expand our relationship with existing publishers by leveraging our omnichannel capabilities to maximize our access to publishers’ ad formats and devices. We have demonstrated that we can retain our publisher customers, as evidenced by our net dollar-based retention rates of 108% for the fiscal year ended December 31, 2022 and 149% for the fiscal year ended December 31, 2021.</w:t>
      </w:r>
    </w:p>
    <w:p>
      <w:pPr>
        <w:spacing w:after="0" w:line="5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Attract New Buyers and Expand our Relationship with Existing Buyers</w:t>
      </w:r>
      <w:r>
        <w:rPr>
          <w:rFonts w:ascii="Arial" w:cs="Arial" w:eastAsia="Arial" w:hAnsi="Arial"/>
          <w:sz w:val="17"/>
          <w:szCs w:val="17"/>
          <w:color w:val="auto"/>
        </w:rPr>
        <w:t>: We seek to acquire new buyers (including advertisers, agencies and DSPs)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our strong value proposition. We work with DSPs to help them reduce their costs and improve advertiser ROI. As advertisers and agencies increasingly consolidate their spending with fewer larger technology platforms, we seek to increase the proportion of their digital ad spending on our platform through direct relationships. We have entered into SPO agreements directly with both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Efficiently Expand Our Infrastructure Platform to Process More Ad Impressions</w:t>
      </w:r>
      <w:r>
        <w:rPr>
          <w:rFonts w:ascii="Arial" w:cs="Arial" w:eastAsia="Arial" w:hAnsi="Arial"/>
          <w:sz w:val="16"/>
          <w:szCs w:val="16"/>
          <w:color w:val="auto"/>
        </w:rPr>
        <w:t>: We have a track record of cost-effectively expanding the capacity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infrastructure platform as exemplified by average daily ad impressions having increased approximately 440% over the three year period ended December 31, 2022, while the corresponding costs related to processing these impressions have increased approximately 130%. We expect to continue to invest in both software and hardware infrastructure to continue growing the number of valuable ad impressions we process on our platform.</w:t>
      </w:r>
    </w:p>
    <w:p>
      <w:pPr>
        <w:spacing w:after="0" w:line="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Improve Liquidity in Our Marketplace</w:t>
      </w:r>
      <w:r>
        <w:rPr>
          <w:rFonts w:ascii="Arial" w:cs="Arial" w:eastAsia="Arial" w:hAnsi="Arial"/>
          <w:sz w:val="18"/>
          <w:szCs w:val="18"/>
          <w:color w:val="auto"/>
        </w:rPr>
        <w:t>: We strive to continuously improve publisher revenue and advertiser ROI by investing in our technology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improving our machine learning capabilities. We leverage our artificial intelligence and machine learning capabilities, alongside our growing publisher and buyer relationships, to improve liquidity in our marketplace. Increasing numbers of ad impressions, increasing advertiser bids, and data proliferation provide us with many opportunities to better match sellers and buyers of ad inventory. We believe that improved matching will lead to growth of our platform and greater publisher and buyer retention.</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Develop New Products</w:t>
      </w:r>
      <w:r>
        <w:rPr>
          <w:rFonts w:ascii="Arial" w:cs="Arial" w:eastAsia="Arial" w:hAnsi="Arial"/>
          <w:sz w:val="16"/>
          <w:szCs w:val="16"/>
          <w:color w:val="auto"/>
        </w:rPr>
        <w:t>: As we grow our customer base and process increasing volumes of ad impressions and data, we gain insights into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challenges we can solve on behalf of our customers. We are constantly focused on creating new products that we believe solve our customers’ needs.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Expand Into New Ad Formats: </w:t>
      </w:r>
      <w:r>
        <w:rPr>
          <w:rFonts w:ascii="Arial" w:cs="Arial" w:eastAsia="Arial" w:hAnsi="Arial"/>
          <w:sz w:val="18"/>
          <w:szCs w:val="18"/>
          <w:color w:val="auto"/>
        </w:rPr>
        <w:t>We have demonstrated an ability to extend header bidding into a variety of ad formats – initially desktop display,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 web, mobile app, digital video, and most recently with OTT/CTV. As technology and media evolve, additional ad formats may become attractive to us – whether existing in the ecosystem today or entirely new. These may include audio/podcast ads, native ads and digital out of home ads. Each ad format represents an opportunity to further extend our cloud infrastructure, increase our platform utilization, and acquire new customers or expand our relationship with existing customers.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Expand into New Geographies: </w:t>
      </w:r>
      <w:r>
        <w:rPr>
          <w:rFonts w:ascii="Arial" w:cs="Arial" w:eastAsia="Arial" w:hAnsi="Arial"/>
          <w:sz w:val="18"/>
          <w:szCs w:val="18"/>
          <w:color w:val="auto"/>
        </w:rPr>
        <w:t>We decide to enter new advertising markets around the world based on size, growth rate, and other characteristics.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constantly evaluating new markets with a strategy to use our existing global infrastructure and adjacent sales office, or by expanding our infrastructure footprint and placing personnel directly in those markets.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 We designed our platform using a flexible, service-oriented architecture in order to facilitate rapid development of new solutions, to meet evolving industry demands, and to support new use cases and new ad formats. Our agile development process and flexible, service-oriented architecture empower our development teams to routinely convert a requirement into working software within a typical time frame of two weeks or less. Our omnichannel platform supports a wide array of publishers, ad formats and devices, including mobile app, mobile web, desktop, display, video, OTT/CTV, and rich media.</w:t>
      </w:r>
    </w:p>
    <w:p>
      <w:pPr>
        <w:spacing w:after="0" w:line="8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offer our solution as a complete, unified offering for publishers who want a simple, efficient and comprehensive solution. We also offer modular access to our platform via rich application programming interfaces and a mobile SDK, for publishers who wish to integrate with or extend the platform, or develop new business models and custom advertising solutions.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Among the central benefits of our software platform is the processing, management and analysis of valuable data assets. The hundreds of billions of ad impressions and trillion advertiser bids that we process every day generate enormous volumes of data that we harness to drive higher revenue for our publishers and increased ROI for our buyers. This data includes:</w:t>
      </w:r>
    </w:p>
    <w:p>
      <w:pPr>
        <w:spacing w:after="0" w:line="22"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 impression and bid data, which contain parameters such as page URL or app bundle ID, location of the user, operating system of the user’s device, device type, ad size and ad location on the page;</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party customer owned audience data, such as segment data that specifies whether a consumer is a recent shopper for electronics or automobiles;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Advertiser bid response data, which is bidding data received from DSPs, agencies, and advertisers.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developed proprietary data and analytics offerings that allow publishers to monitor their ad business in near real-time, as well as advanced tools publishers can use to find new business opportunities, optimize their monetization strategy, and help maximize the value of their digital ad business. This data is also used by our machine learning algorithms to enhance our bidding and auctioning process by analyzing large datasets and applying algorithms to drive optimal results.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Artificial Intelligence and Machine Learning</w:t>
      </w:r>
    </w:p>
    <w:p>
      <w:pPr>
        <w:spacing w:after="0" w:line="117"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color w:val="auto"/>
        </w:rPr>
        <w:t>We analyze the data on our platform through extensive application of artificial intelligence technologies, including machine learning and natural language processing. Examples of how we leverage our artificial intelligence and machine learning capabilities to improve outcomes for our customers are:</w:t>
      </w:r>
    </w:p>
    <w:p>
      <w:pPr>
        <w:spacing w:after="0" w:line="1" w:lineRule="exact"/>
        <w:rPr>
          <w:sz w:val="20"/>
          <w:szCs w:val="20"/>
          <w:color w:val="auto"/>
        </w:rPr>
      </w:pPr>
    </w:p>
    <w:p>
      <w:pPr>
        <w:jc w:val="both"/>
        <w:ind w:left="6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Identify valuable ad impressions and predict auction behavior: </w:t>
      </w:r>
      <w:r>
        <w:rPr>
          <w:rFonts w:ascii="Arial" w:cs="Arial" w:eastAsia="Arial" w:hAnsi="Arial"/>
          <w:sz w:val="18"/>
          <w:szCs w:val="18"/>
          <w:color w:val="auto"/>
        </w:rPr>
        <w:t>When our machine learning models predict that an impression will attract high</w:t>
      </w:r>
      <w:r>
        <w:rPr>
          <w:rFonts w:ascii="Arial" w:cs="Arial" w:eastAsia="Arial" w:hAnsi="Arial"/>
          <w:sz w:val="18"/>
          <w:szCs w:val="18"/>
          <w:b w:val="1"/>
          <w:bCs w:val="1"/>
          <w:color w:val="auto"/>
        </w:rPr>
        <w:t xml:space="preserve"> </w:t>
      </w:r>
      <w:r>
        <w:rPr>
          <w:rFonts w:ascii="Arial" w:cs="Arial" w:eastAsia="Arial" w:hAnsi="Arial"/>
          <w:sz w:val="18"/>
          <w:szCs w:val="18"/>
          <w:color w:val="auto"/>
        </w:rPr>
        <w:t>bids, our algorithms adjust pricing guidance to bidders in real time, which can lead to significant inventory yield improvements for publishers and higher win rates for ad buyers.</w:t>
      </w:r>
    </w:p>
    <w:p>
      <w:pPr>
        <w:spacing w:after="0" w:line="13" w:lineRule="exact"/>
        <w:rPr>
          <w:rFonts w:ascii="Arial" w:cs="Arial" w:eastAsia="Arial" w:hAnsi="Arial"/>
          <w:sz w:val="18"/>
          <w:szCs w:val="18"/>
          <w:color w:val="auto"/>
        </w:rPr>
      </w:pPr>
    </w:p>
    <w:p>
      <w:pPr>
        <w:jc w:val="both"/>
        <w:ind w:left="660" w:hanging="328"/>
        <w:spacing w:after="0" w:line="26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Optimize impression selection: </w:t>
      </w:r>
      <w:r>
        <w:rPr>
          <w:rFonts w:ascii="Arial" w:cs="Arial" w:eastAsia="Arial" w:hAnsi="Arial"/>
          <w:sz w:val="18"/>
          <w:szCs w:val="18"/>
          <w:color w:val="auto"/>
        </w:rPr>
        <w:t>Our ability to accurately predict and monetize high value impressions allows us to operate more efficiently,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fact that the cost of processing low-value impressions and high-value impressions are approximately the same. Our algorithms, such as impression throttling, deploy a variety of levers to optimize traffic sent to DSPs, agencies, and advertisers.</w:t>
      </w:r>
    </w:p>
    <w:p>
      <w:pPr>
        <w:spacing w:after="0" w:line="13"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Improve our self-service capabilities</w:t>
      </w:r>
      <w:r>
        <w:rPr>
          <w:rFonts w:ascii="Arial" w:cs="Arial" w:eastAsia="Arial" w:hAnsi="Arial"/>
          <w:sz w:val="18"/>
          <w:szCs w:val="18"/>
          <w:color w:val="auto"/>
        </w:rPr>
        <w:t>: Publishers can enter natural language queries, such as “Show me average CPM for yesterday”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analytics system will generate charts and tables with relevant data for rapid and informative analysis.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Programmatic Header Bidding</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leading provider of technology solutions that enable and improve header bidding for our customers. We developed an enterprise wrapper, OpenWrap, that was among the first header bidding solutions launched for general availability. OpenWrap was released in April 2016 and enables publishers to holistically manage and configure all header bidding partners through a powerful, synchronized and intuitive user interface. OpenWrap provides a transparent, real-time view into bid activity and volume, monetization and latency metrics which allow publishers to make smarter decisions and drive sustainable monetization. Our cloud infrastructure is interoperable with the other major header bidding software frameworks including open source Prebid, Google’s Open Bidding, Amazon’s Transparent Ad Marketplace, and others. We believe we are thought leaders in the header bidding space and are represented on the boards of Prebid and the IAB Tech Lab.</w:t>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Regulatory Compliance</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 growing set of privacy regulations have introduced complexity regarding the collection, use, and transmission of consumer data to the digital advertising ecosystem. Most notably, the GDPR that took effect in May 2018, the CCPA that took effect in January 2020 and CRPA that took effect in January 2023, among other global privacy laws and regulations, have created a compliance burden for advertisers, publishers, and their partners to navigate. The advertising industry has developed a number of the technical and policy solutions to create standards for compliance, such as IAB TCF.</w:t>
      </w:r>
    </w:p>
    <w:p>
      <w:pPr>
        <w:spacing w:after="0" w:line="4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have implemented a number of technology innovations, process enhancements, and industry solutions in response to our publishers’ increased obligations. Through the TCF and other frameworks, we can identify and pass user consent parameters, and opt-in or opt-out as applicable, in a bid request. We are also able to evaluate whether such consents apply to our various demand partners, such as DSPs and agencies. Some of the specific measures we have taken include:</w:t>
      </w:r>
    </w:p>
    <w:p>
      <w:pPr>
        <w:spacing w:after="0" w:line="75" w:lineRule="exact"/>
        <w:rPr>
          <w:sz w:val="20"/>
          <w:szCs w:val="20"/>
          <w:color w:val="auto"/>
        </w:rPr>
      </w:pPr>
    </w:p>
    <w:p>
      <w:pPr>
        <w:ind w:left="660" w:hanging="328"/>
        <w:spacing w:after="0" w:line="28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User Consent. </w:t>
      </w:r>
      <w:r>
        <w:rPr>
          <w:rFonts w:ascii="Arial" w:cs="Arial" w:eastAsia="Arial" w:hAnsi="Arial"/>
          <w:sz w:val="18"/>
          <w:szCs w:val="18"/>
          <w:color w:val="auto"/>
        </w:rPr>
        <w:t>Working with publishers and channel partners to ensure appropriate consent is being obtained, recorded, and transmitted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53"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Data Mapping</w:t>
      </w:r>
      <w:r>
        <w:rPr>
          <w:rFonts w:ascii="Arial" w:cs="Arial" w:eastAsia="Arial" w:hAnsi="Arial"/>
          <w:sz w:val="18"/>
          <w:szCs w:val="18"/>
          <w:color w:val="auto"/>
        </w:rPr>
        <w:t>. Undertaking data mapping exercises for the purpose of understanding data flows in how we collect, use, and transmit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from our publishers, buyers, and data providers.</w:t>
      </w:r>
    </w:p>
    <w:p>
      <w:pPr>
        <w:spacing w:after="0" w:line="53"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Data Minimization</w:t>
      </w:r>
      <w:r>
        <w:rPr>
          <w:rFonts w:ascii="Arial" w:cs="Arial" w:eastAsia="Arial" w:hAnsi="Arial"/>
          <w:sz w:val="18"/>
          <w:szCs w:val="18"/>
          <w:color w:val="auto"/>
        </w:rPr>
        <w:t>. Establishing mechanisms to collect only the data that is needed and pseudonymizing data wherever possible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masking IP address or geolocation data as applicable).</w:t>
      </w:r>
    </w:p>
    <w:p>
      <w:pPr>
        <w:spacing w:after="0" w:line="53"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Data Retention</w:t>
      </w:r>
      <w:r>
        <w:rPr>
          <w:rFonts w:ascii="Arial" w:cs="Arial" w:eastAsia="Arial" w:hAnsi="Arial"/>
          <w:sz w:val="18"/>
          <w:szCs w:val="18"/>
          <w:color w:val="auto"/>
        </w:rPr>
        <w:t>. Implementing a short data retention period across our technology platform so that we promptly delete, aggregate, or anonymize</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data.</w:t>
      </w:r>
    </w:p>
    <w:p>
      <w:pPr>
        <w:spacing w:after="0" w:line="53"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Publisher and Demand Side Agreements. </w:t>
      </w:r>
      <w:r>
        <w:rPr>
          <w:rFonts w:ascii="Arial" w:cs="Arial" w:eastAsia="Arial" w:hAnsi="Arial"/>
          <w:sz w:val="18"/>
          <w:szCs w:val="18"/>
          <w:color w:val="auto"/>
        </w:rPr>
        <w:t>Monitoring and updating our agreements with publishers, DSPs, agencies, and advertisers,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address privacy and regulatory compliance.</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 Quality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quality of the inventory made available to advertisers has a significant impact on their ROI. Bad actors promoting botnets, fake ads, ad stuffing and other malignant methodologies reduce the ROI for advertisers and siphon dollars away from quality publishers. We have developed a multi-pronged strategy to create a high-quality marketplace beginning with high quality publisher selection, supported by proprietary and third-party fraud detection software, manual review, timely fraud investigations, and a fraud-free program in which buyers are credited for any fraudulent inventory they may have purchased on our platform.</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 Quality</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 quality refers to the quality of the advertisements that run on publishers’ sites. We have developed proprietary solutions targeting the reduction of security issues, including malware, redirects, unsafe code, and other similar practices; quality issues, including unsafe creative categories (such as alcohol or drugs) and creative attributes (Inbanner video, Expandables, Text Ads); and performance issues, including network load, number of trackers and memory size. On an average day, we scan over one million new advertisement creatives in near real-time using our Real-Time Ad Scanning (“RTAS”) system. RTAS connects to proprietary technology and partners’ services to extract the nature of creatives. Publishers can configure their preferences for quality attributes using our blocklist manager, creative attribute selection, and keyword blocking. A comprehensive reporting suite is available for publishers to monitor the top performing creatives and review the lost opportunity due to excessive blocking.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Log-level Transparency and Insights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enable buyers to gain additional transparency and insights to help them inform future ad buying and optimize their supply paths by providing them access to log-level data, which is comprised of various attributes that are relevant to a single ad impression within an auction. Log-level data provides buyers transaction verification data, or how the auction operates and what fees are being charged.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Reporting</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technology platform provides extensive reporting capabilities to both buyers and publishers via application programming interfaces for direct integration into a customer’s reporting systems. Publishers are able to review performance, monitor key performance indicators (“KPIs”), and make adjustments to their set up and optimization. Buyers have access to campaign insight data to facilitate testing and adaptation toward maximizing ROI. Detailed performance by ad format, channels, and ad sizes allows for optimization to achieve maximum performance.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Self-Service</w:t>
      </w:r>
    </w:p>
    <w:p>
      <w:pPr>
        <w:spacing w:after="0" w:line="117"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design and implement self-service workflow solutions to allow publishers to efficiently manage their ad inventory. For example, publishers can update their own price floors, add or remove advertisers from blocklists, add new web sites and mobile apps, manage optimize their header bidding set ups, and leverage identity graphs from multiple ID providers. Ad buyers can configure the attributes for the inventory they desire, setup new or adjust existing private marketplace deals, and access extensive reporting on their media buying activities with us.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Culture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culture and our team are our most important asset in building and expanding our business. Our team identifies new problems to solve, builds solutions, optimizes and extends our infrastructure, and acquires and serves customers. We believe that strong and diverse customer teams deepen customer relationships, promote innovation, and increase productivity.</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people strategy revolves around creating employee experiences that foster deep employee engagement built upon personal development and achievement that is supported by continuous feedback, learning, and team building. Our workplaces in the United States have been certified by Great Place To Work (2017-2022) and recognized on Fortune’s list of Best Workplaces in the Bay Area 2020 and 2022. Our India subsidiary has also been certified by Great Place To Work (2018-2022) as well as named to the list of Great Mid-size Workplaces and Best Workplaces in IT &amp; IT-BPM in 2019 and 2021. Recognized to the Great Place To Work list of Asia’s best workplaces in 2021. Our UK subsidiary has been certified by Great Place to Work (2020-2022) and recognized with an Excellence in Wellbeing certification in 2020-2021 and our Germany subsidiary has been certified by Great Place to Work (2022).</w:t>
      </w:r>
    </w:p>
    <w:p>
      <w:pPr>
        <w:spacing w:after="0" w:line="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achieved these results by delivering custom learning programs and creating opportunities for advancement that align with the dynamic needs of our business. Our practice of open and transparent communication coupled with a performance-based approach to compensation has created a culture in which employees feel empowered in their ability to influence and impact our business and be rewarded for their efforts. The value proposition we offer to our employees is rounded out with strong benefits programs that include paid family leave, health and wellness benefits and company sponsored opportunities to give back to the communities in which they work and live.</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also committed to being inclusive in our hiring practices, promotion practices, and management practices as a means of ensuring equal opportunity for all employees as we continue to diversify our workforce. The diversity of our workforce has been publicly documented since 2017 with our annual Diversity &amp; Inclusion Report. Our Inclusion Action Plan consists of five areas that focus on listening, learning, hiring, socio-economic support, and activism. This plan will be executed in part by our newly established Diversity &amp; Inclusion Committee. The plan has a global focus that takes into consideration regional cultural differences to provide interactive employee experiences that drive continuous support for inclusion throughout our organization.</w:t>
      </w:r>
    </w:p>
    <w:p>
      <w:pPr>
        <w:spacing w:after="0" w:line="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It has always been our goal to attract and retain the best talent in the industry and our inclusive interview process includes finding those candidates that best add to our company mission, values, and cultural principles. These three guiding elements form a social contract between employees as well as set expectations for the common behaviors we can expect from each other and inform how we treat our customers. They are infused in every aspect of our business, from employee experience and workplace culture to marketing strategies and customers success.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fuel the endless potential of Internet content creators.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Values:</w:t>
      </w:r>
    </w:p>
    <w:p>
      <w:pPr>
        <w:spacing w:after="0" w:line="6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put the customer first.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biased towards action.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leaders and innovators.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committed to integrity.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celebrate teamwork.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Cultural Principles</w:t>
      </w:r>
      <w:r>
        <w:rPr>
          <w:rFonts w:ascii="Arial" w:cs="Arial" w:eastAsia="Arial" w:hAnsi="Arial"/>
          <w:sz w:val="18"/>
          <w:szCs w:val="18"/>
          <w:i w:val="1"/>
          <w:iCs w:val="1"/>
          <w:color w:val="auto"/>
        </w:rPr>
        <w:t>:</w:t>
      </w:r>
    </w:p>
    <w:p>
      <w:pPr>
        <w:spacing w:after="0" w:line="6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empower every individual team member and treat each other as partners.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make having fun a priority.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hire and retain the best talent.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communicate internally with honesty, transparency, and authenticity, including positive and negative information.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we had 875 employees, of whom 275 were located in the United States, 481 in India, and 119 in our other offices around the world.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to continue investing in our technology in order to support efficient and effective ad monetization, which includes maximizing the yield from existing ad impressions and productively adding new ad impressions processed on our platform. We also intend to continue developing innovative capabilities for our customers.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we had 407 employees engaged in technology and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the proliferation of media across platforms, transaction speed, increased costs, transparency, and regulatory requirements. To address these issues at scale for both publishers and buyers, we provide specialized software and hardware infrastructure to optimally power technology-driven transactions. We compete with SSPs like Magnite, smaller private SSPs in markets around the world, as well as divisions of larger companies like Google.</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While there is direct competition, our cloud infrastructure is interoperable with the major header bidding software frameworks including open source Prebid, Google’s Open Bidding, Amazon’s Transparent Ad Marketplace, and others. As a result, we are able to gain access to competitors’ ad impressions.</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also demonstrated an ability to extend our header bidding infrastructure into a variety of higher-growth ad formats such as mobile web, mobile app, digital video, and most recently OTT/CTV.</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our specialized cloud infrastructure enables us to compete favorably on the factors described above. In addition, we believe that new market entrants would find it difficult to gain direct access to publishers and ad buyers given their limited scale and would face significant costs to integrate with publishers and ad buyers and comply with growing regulatory requirements around the world.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primarily deploy a self-service model and focus our sales and marketing efforts on supporting, advising, and training our publishers to optimize their usage of our platform. We employ a nimble in-market sales team with expertise in programmatic advertising to attract premium publishers to our platform. We have dedicated teams focused on new publisher acquisition and existing publisher relationship management. New publishers on our platform work closely with our Customer Success team, which handles on-boarding and providing support throughout the publisher relationship life cycle. Our Customer Success team is organized and specialized by type of ad format and device and is trained to both maximize the number of integrations with each publisher, and deploy our value added solutions that we provide. Similarly, we have teams focused on new business acquisition and existing partner retention and expansion for advertisers, agencies, and DSPs. These teams focus on onboarding new partners and increasing spend across a variety of ad formats, devices, and geographies.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marketing team is focused on achieving thought leadership, educating customers on how to harness programmatic advertising to improve their business, guiding buyers on how to maximize ROI via the PubMatic cloud infrastructure, supporting our sales team, generating new leads and increasing awareness for our brand.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protection of our technology and intellectual property is an important component of our success. We protect our intellectual property rights by relying on federal and state statutory and common law rights, foreign laws where applicable, and contractual restrictions. We seek to control access to our proprietary technology by entering into non-disclosure agreements with third parties and disclosure and invention assignment agreements with our employees and contractors.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consider our trademarks, patents, copyrights, trade secrets, and other intellectual property rights to be, in the aggregate, material to our business. We currently own two issued U.S. patents, expiring in 2034, relating to online advertising and auction techniques. We also own one issued Japanese patent. We also own trademark registrations and applications for the “PubMatic” name and variants thereof and other product-related marks in the United States and certain foreign countries. We have also registered numerous Internet domain names related to our business. We believe our platform would be difficult, time consuming, and costly to replicate.</w:t>
      </w:r>
    </w:p>
    <w:p>
      <w:pPr>
        <w:spacing w:after="0" w:line="8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Data</w:t>
      </w:r>
    </w:p>
    <w:p>
      <w:pPr>
        <w:spacing w:after="0" w:line="12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subject to laws and regulations governing privacy and the transmission, collection, and use of personal data. Interest-based advertising, or the use of data to draw inferences about a consumer’s interests and deliver relevant advertising to that consumer, has come under increasing scrutiny by legislative, regulatory, and self-regulatory bodies, privacy advocates, academics, and commercial interests in the United States and abroad that focus on data protection and consumer privacy. In particular, much of this scrutiny has focused on the use of cookies and other tracking technologies that collect or aggregate information about consumers’ online browsing and mobile app usage activity. Because both our company and our publishers rely upon large volumes of such data collected primarily through cookies and other tracking technologies, it is essential that we monitor legal requirements and other developments in this area, domestically and globally, maintain a robust privacy and security compliance program, and engage in responsible privacy practices, including providing consumers with notice of the types of data we collect, how we collect it, with whom we share it, how we use that data to provide our solutions, and the applicable choices we offer consumers.</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provide notice through our privacy policies and notices, which can be found on our website at www.pubmatic.com. As stated in our privacy policy, we do not collect information, such as names, addresses or telephone phone numbers, for providing our advertising services that can be used directly to reveal the identity of the underlying individual. We take steps not to collect and store such information (although on occasion, our publishers voluntarily share information of their consumers with us and in such circumstances, we require the publishers to have obtained all necessary consents for such sharing). Our advertising and reporting rely on information that does not, on its own, directly reveal the identity of the underlying individuals (and we do not attempt to associate this information with other information that can identify such individuals). We typically do collect and store IP addresses, geo-location information, and device identifiers that are considered personal data or personal information under the privacy laws of some jurisdictions or otherwise may be the subject of current or future data privacy legislation or regulation. The definition of personally identifiable information, personal information, or personal data, varies by jurisdiction and continues to evolve in ways that may require us to adapt our practices to avoid violating laws or regulations related to the collection, storage, and use of consumer data. As a result, our technology platform and business practices must be assessed regularly against a continuously evolving legal and regulatory landscape, and we have adopted strong data minimization practices that mitigate our compliance risks.</w:t>
      </w:r>
    </w:p>
    <w:p>
      <w:pPr>
        <w:spacing w:after="0" w:line="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provided by children under the age of 13 by child-directed websites or online services, such as apps, directed to children or any website if the collection of such data is known to the website or app operator. We have taken various steps to implement a system in which our publishers are contractually obligated to either flag or notify us in writing of child-directed websites. When websites are flagged, or we receive notice of such websites, we do not collect personal information, as defined by COPPA, including cookie identifiers that can recognize the same consumer across multiple sites over time, or location information more specific than street and city, on such websites or online services.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our compliance with our privacy policy and our general consumer data privacy and security practices are subject to review by the Federal Trade Commission, which may bring enforcement actions to challenge allegedly unfair and deceptive trade practices, including the violation of privacy policies and representations or material omissions therein.</w:t>
      </w:r>
    </w:p>
    <w:p>
      <w:pPr>
        <w:spacing w:after="0" w:line="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Certain State Attorneys General in the United States may also bring enforcement actions based on comparable state laws or federal laws that permit state-level enforcement. In California, for example, the Attorney General may bring enforcement actions for violations of the CCPA, as modified by the Attorney General’s recently approved enforcement guidelines. We have registered as a data broker in California with the California Attorney General. When we receive bid requests that include an opt-out signal, we do not sell personal information, as defined by the CCPA. We have also adopted the IAB CCPA Compliance Framework, which includes a technical specification to identify consumer signals to opt-out of sale of their data, and have signed the IAB Limited Service Provider Agreement that imposes service provider obligations for certain opted-out bid requests. These IAB frameworks are designed to facilitate compliance with the CCPA although the California Attorney General’s office has not yet approved such frameworks. The CCPA and CPRA set forth high potential liabilities for data privacy violations on a per-record basis, and the industry faces an uncertain compliance burden as our partners and publishers work to become compliant with the law. Adding further complexity in California, the CPRA imposed additional data protection obligations on companies doing business in California, including additional consumer rights processes and opt-outs for certain uses of sensitive data and sharing of personal data. Likewise, Virginia enacted the Consumer Data Protection Act (“CDPA”), Connecticut enacted the Connecticut Data Privacy Act (“CTDPA”), Colorado enacted the Colorado Privacy Act (“CPA”), and Utah enacted the Utah Consumer Privacy Act (“UCPA”), which impose consumer rights processes and requires user consent for certain types of sensitive data. These laws also sets forth high potential liabilities for data privacy violations on a per-record basis, and the industry faces an uncertain compliance burden as our partners and publishers work to become compliant with these laws in the future.</w:t>
      </w:r>
    </w:p>
    <w:p>
      <w:pPr>
        <w:spacing w:after="0" w:line="7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Outside of the United States, our privacy and data practices are subject to regulation by data protection authorities and other regulators in the countries in which we do business. The use and transfer of personal data in member states of the European Union is currently governed under the GDPR, which grants additional rights to consumers about their data, such as deletion and portability, and generally prohibits the transfer of personal data of EU subjects outside of the EU, unless the party exporting the data from the EU implements a compliance mechanism designed to ensure that the receiving party will adequately protect such data. We had relied on the EU-U.S. Privacy Shield framework (Privacy Shield framework), to transfer personal data of EU subjects to the United States, but the Privacy Shield framework was recently declared invalid by Court of Justice of the European Union. (“CJEU”) on July 16, 2020. In October 2022, the Biden administration negotiated new privacy shield terms with EU regulators, and signed an Executive Order in October 2022 directing the steps the United States will take to implement its commitments to the EU/US data privacy framework. The new proposed Privacy Shield</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terms are subject to further review by the European Commission or EC and member states. Max Schrems, who brought the lawsuit which resulted in the invalidation of Privacy Shield in 2020, has indicated that he will legally challenge these newly proposed Privacy Shield terms.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its July 16, 2020 decision, while the CJEU upheld the adequacy of the standard contractual clauses (a standard form of contract approved by the European Commission as an adequate personal data transfer mechanism, and potential alternative to the Privacy Shield framework), it made clear that reliance on them alone may not necessarily be sufficient in all circumstances and cast doubt on their future use. Use of the standard contractual clauses must now be assessed on a case-by-case basis taking into account the legal regime applicable in the destination country, in particular applicable surveillance laws and rights of individuals. The use of standard contractual clauses for the transfer of personal data specifically to the United States remains under review by a number of European data protection supervisory authorities.</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GDPR sets out higher potential liabilities for certain data protection violations, which may result in fines up to the greater of €20 million or 4% of an enterprise’s global annual revenue. Additionally, the UK GDPR will also have the ability to fine up to the greater of £17.5 million or 4% of global turnover. Further, the EU is currently in discussions to replace the ePrivacy Directive (commonly called the “Cookie Directive”) with the ePrivacy Regulation that governs the use of technologies that collect, access, and store consumer information and may create additional compliance burdens for us in Europe.</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jurisdictions have enacted legislation that closely tracks the concepts, obligations, and consumer rights described in the GDPR, including Brazil’s General Data Protection law and Thailand’s Personal Data Protection Act. Some jurisdictions, including Russia and China, have in recent years enacted data localization laws, which require any personal information of citizens of those jurisdictions to be stored and processed on servers located in those jurisdictions. Such laws are gaining momentum and are being enforced by local authorities.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Beyond laws and regulations, we are also members of self-regulatory bodies that impose additional requirements related to the collection, use, and disclosure of consumer data, including the IAB, the Digital Advertising Alliance, and the NAI. Under the requirements of these self-regulatory bodies, in addition to other compliance obligations, we provide consumers with notice via our privacy policies about our use of cookies and other technologies to collect consumer data, our collection and use of consumer data to deliver interest-based advertisements, and consumers’ opt-out choices. We also allow consumers to opt-out from the use of data we collect for purposes of interest-based advertising through mechanisms described in our privacy policies available on our website. Some of these self-regulatory bodies have the ability to discipline members or participants, which could result in penalties and cause reputational harm. Additionally, some of these bodies might refer violations of their requirements to the Federal Trade Commission or other regulators.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incorporated in the State of Delaware in 2006.</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internet address is www.pubmatic.com. At our investor relations website, https://investors.pubmatic.com, we make available free of charge a variety of information for investors, including our annual reports on Form 10-K, quarterly reports on Form 10-Q, current reports on Form 8-K, and any amendments to those reports, as soon as reasonably practicable after we electronically file that material with or furnish it to the SEC at www.sec.gov. Further, corporate governance information, including our corporate governance guidelines, board committee charters, and code of conduct, are also available on our investor relations website at https://investors.pubmatic.com/corporate-governance/governance-highlights.</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Website addresses referred to in this Annual Report on Form 10-K are not intended to function as hyperlinks, and the information contained on or available through our website is not incorporated into, and does not form a part of this Annual Report on Form 10-K or any other report or documents we file with or furnish to the SEC.</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Annual Report on Form 10-K, including our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Results of Operations and Growth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results of operations are highly dependent on the overall demand for advertising.</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depends on the overall demand for advertising and on the economic health of our current and prospective publishers and buyers. For example, due to the COVID-19 pandemic and the recession in the United States and global economy in the second quarter of 2020, advertising demand on our platform decreased and did not recover to pre-COVID-19 levels for two months. More recently, macroeconomic factors including inflation, rising interest rates and softening demand in certain verticals have caused some advertisers to reduce their advertising budgets. Such macroeconomic factors, as well as broader economic downturns, recessions, inflation, further changes in interest rates or foreign exchange rates or any supply chain disruptions, changes in the tax treatment of advertising expenses, or general uncertainty, in North America, Europe, and Asia, where we do most of our business; could adversely affect our business, results of operations, and financial condition. In addition, the conflict in Ukraine could cause unpredictable economic effects in Europe, including potentially softening general consumer demand. Reductions in overall advertising spending as a result of these factors could make it difficult to predict our revenue and could adversely affect our business, results of operations, and financial condition.</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existing customers do not expand their usage of our platform, or if we fail to attract new publishers and buyers, our growth will suffer. Moreover, any decrease in the use of the advertising channels that we primarily depend on, or failure to expand into emerging channels, could adversely affect our business, results of operations, and financial condition.</w:t>
      </w:r>
    </w:p>
    <w:p>
      <w:pPr>
        <w:spacing w:after="0" w:line="7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advantages stemming from their experience in the market. We must continue to adapt and improve our technology to compete effectively, and customers have not always embraced our offering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place technological or financial demands that we are unable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relatively small number of premium publishers have historically accounted for a significant portion of the ad impressions sold on our platform, as well as a significant portion of our revenue from publishers, including a relatively small number of channel partners. In particular, for the years ended December 31, 2022, 2021 and 2020, 13%, 17% and 20%, respectively, of our revenue was derived from ad impressions sold on our platform from our largest publisher, Yahoo.</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no minimum commitments from publishers, so the amount, quality, and cost of ad impressions available to us can change at any time, and we cannot assure you that we will have access to a consistent volume or quality of ad impressions at a reasonable cost, or at all. We expect to depend upon a relatively small number of premium publishers and channel partners for the foreseeable future. To support our continued growth, we will seek to add additional publishers to our platform, and to expand current utilization with our existing publishers. Any disruptions in our relationships with premium publishers or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limited number of large DSPs – The Trade Desk and Google DV360 in particular – account for a significant portion of the ad impressions purchased on our platform. We expect to depend upon these DSPs for a large percentage of impressions purchased for the foreseeable future. We have no minimum commitments from buyers to spend on our platform, so the amount of demand available to us can change at any time, and we cannot assure you that we will have access to a consistent volume or quality of ad campaigns or demand for our ad impressions at a reasonable price, or at all. Any disruptions in our relationships with DSPs, agencies or advertisers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w:t>
      </w:r>
    </w:p>
    <w:p>
      <w:pPr>
        <w:spacing w:after="0" w:line="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have been, and are continuing to, enhance such channels. We may not be able to accurately predict changes in overall advertiser demand for the channels in which we operate and cannot assure you that our investment in formats will correspond to any such changes.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may fluctuate significantly and may not meet our expectations or those of securities analysts and investors.</w:t>
      </w:r>
    </w:p>
    <w:p>
      <w:pPr>
        <w:spacing w:after="0" w:line="1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in an evolving industry with ever-changing customer needs,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substantial revenue growth, we may not be able to sustain this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w:t>
      </w:r>
    </w:p>
    <w:p>
      <w:pPr>
        <w:spacing w:after="0" w:line="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demand and pricing for ad impressions sold on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access to valuable ad impressions from publishers;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maintaining, and expanding relationships with publishers, DSPs, agencies, and advertisers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innovating and developing new solutions that are adopted by and meet the needs of publishers, DSPs, agencies, and advertisers;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competing against companies with a larger customer base or greater financial or technical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structure of the buying and selling of ad impressions;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pricing policies of publishers and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responding to evolving industry standards and government regulations that impact our business, particularly in the areas of data protection and consumer privacy.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demand due to changes in macroeconomic environment, including as a result of an economic downturn, recession, inflation, changes in interest rates or foreign exchange rates, disruptions to supply chains, or otherwise;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further expanding our business internationally;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recruiting, integrating, and retaining qualified and motivated employees, particularly engineers.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results of operations. You should not rely on our past results as an indicator of our future performance.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make the right investment decisions in our platform, or if we fail to innovate and develop new solutions that are adopted by publishers, we may not attract and retain publishers, which could adversely affect our business, results of operations, and financial condition.</w:t>
      </w:r>
    </w:p>
    <w:p>
      <w:pPr>
        <w:spacing w:after="0" w:line="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face intense competition in the marketplace and are confronted by rapidly changing technology, evolving industry standards, and consumer preferences, regulatory changes, and the frequent introduction of new solutions by our competitors that we must adapt and respond to. We need to continuously update our platform and the technology we invest in and develop, including our machine learning and other proprietary algorithms, in order to attract publishers and buyers and keep ahead of changes in technology, evolving industry standards and regulatory requirements. Our platform is complex and new solutions can require a significant investment of time and resources to develop, test, introduce, and enhance. These activities can take longer than we expect. Moreover, we may not make the right decisions regarding these investments. New formats and channels, such as mobile header bidding and CTV, present unique challenges that we must address in order to succeed. Our success in new formats and channels depends upon our ability to integrate our platform with these new formats and channels. If our mobile and video solutions or our new CTV solutions are not widely adopted by publishers, we may not retain publishers. In addition, new demands from publishers and buyers, superior offerings by competitors, changes in technology, or new industry standards or regulatory requirements could render our platform or our existing solutions less effective and require us to make unanticipated changes to our platform or business model. Our failure to adapt to a rapidly changing market, anticipate publisher and buyer demand, or attract and retain publishers would cause our revenue or revenue growth rate to decline, and adversely affect our business, results of operations, and financial condition.</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scale our platform infrastructure to support anticipated growth and transaction volume. If we fail to do so, we may limit our ability to process ad impressions, and we may lose revenue.</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business depends on processing ad impressions in milliseconds, and we must handle an increasingly large volume of such transactions. The addition of new solutions, such as header bidding in mobile and the CTV and OTT formats, support of evolving advertising formats, handling, and use of increasing amounts of data, and overall growth in impressions place growing demands upon our platform infrastructure. If we are unable to grow our platform to support substantial increases in the number of transactions and in the amount of data we process, on a high-performance, cost-effective basis,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recently-completed acquisition of Martin presents risks and we must successfully integrate the Martin business to realize the strategic and financial goals that we currently anticipate.</w:t>
      </w:r>
    </w:p>
    <w:p>
      <w:pPr>
        <w:spacing w:after="0" w:line="62" w:lineRule="exact"/>
        <w:rPr>
          <w:sz w:val="20"/>
          <w:szCs w:val="20"/>
          <w:color w:val="auto"/>
        </w:rPr>
      </w:pPr>
    </w:p>
    <w:p>
      <w:pPr>
        <w:ind w:right="300" w:firstLine="324"/>
        <w:spacing w:after="0" w:line="306" w:lineRule="auto"/>
        <w:rPr>
          <w:sz w:val="20"/>
          <w:szCs w:val="20"/>
          <w:color w:val="auto"/>
        </w:rPr>
      </w:pPr>
      <w:r>
        <w:rPr>
          <w:rFonts w:ascii="Arial" w:cs="Arial" w:eastAsia="Arial" w:hAnsi="Arial"/>
          <w:sz w:val="17"/>
          <w:szCs w:val="17"/>
          <w:color w:val="auto"/>
        </w:rPr>
        <w:t>In September 2022, we acquired ConsultMates, Inc. (dba “Martin”) to further augment our SPO capabilities. We have limited experience with such acquisitions, and risks we may face in connection with the integration of the Martin business into our business and operations include:</w:t>
      </w:r>
    </w:p>
    <w:p>
      <w:pPr>
        <w:spacing w:after="0" w:line="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realize the revenue or other economic benefits and synergies we expect to receive from the transaction;</w:t>
      </w:r>
    </w:p>
    <w:p>
      <w:pPr>
        <w:spacing w:after="0" w:line="90"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have difficulties integrating and managing Martin’s SPO products and technology, as well as business relationships, or retaining key personnel from Martin;</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acquisition may not further our business strategy as we expected or we may otherwise not realize our expected return on investment, which could adversely affect our business or operating results;</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Martin’s existing privacy and information security systems and related infrastructure may require additional investments of time and resources in order to scale and, as necessary, to integrate into our platform or to be developed to appropriate standards;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Martin’s management and compliance functions and processes may require significant investments of time and resources in order to support its current and anticipated future product offerings, to scale and, as necessary, to integrate into our platform; and</w:t>
      </w:r>
    </w:p>
    <w:p>
      <w:pPr>
        <w:spacing w:after="0" w:line="35"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(i) claims or liabilities (including tax liabilities) related to Martin’s business and the Martin acquisition including, among others, claims from U.S. or international regulatory or other governmental agencies, terminated employees, current or former customers or business partners, or other third parties; (ii) pre-existing contractual relationships of Martin that we would not have otherwise entered into, the termination or modification of which may be costly or disruptive to our business; (iii) unfavorable accounting treatment as a result of Martin’s practices; and (iv) intellectual property claims or disputes against Martin.</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efforts to offer private marketplace solutions may not be successful, or we may not be able to scale our platform to meet this demand in a timely manner, and, as a result, we may not realize a return from our investments in that area.</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there is significant and growing demand for private marketplace solutions (“PMPs”), and we are making significant investments to meet that demand and grow our market share of PMPs. PMPs may involve lower fees than we can charge for our real-time bidding services, which may not be fully offset by anticipated higher pricing. In some cases, we have experienced fee pressure as we have built out our PMP offering, and we expect this fee pressure to increase as more competitors, including new entrants as well as publishers themselves, build their own technology and infrastructure to enter this business. Even if the market for these solutions develops as we anticipate, publishers and buyers might not embrace our offerings to the degree we expect due to various factors such as inertia from moving off of existing implementations of competitive products. Additionally, even if publishers and buyers embrace our offerings, the positive effect of our PMP offerings on our results of operations may be offset or negated if PMPs cannibalize our open marketplace transaction volumes, by similar offerings from our competitors, or other adverse developments.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Data Collection and the Use of Collected Data</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rejection of digital advertising by consumers, through opt-in, opt-out or ad-blocking technologies or other means or the restriction on the use of third party-cookies, mobile device identifiers or other tracking technologies, could adversely affect our business, results of operations, and financial condition.</w:t>
      </w:r>
    </w:p>
    <w:p>
      <w:pPr>
        <w:spacing w:after="0" w:line="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use “cookies,” or small text files placed on consumer devices when an Internet browser is used, as well as mobile device identifiers, to gather data that enables our platform to be more effective. Our cookies and mobile device identifiers do not identify consumers directly, but record information such as when a consumer views or clicks on an advertisement, when a consumer uses a mobile app, the consumer’s location, and browser or other device information. Publishers and partners may also choose to share their information about consumers’ interests or give us permission to use their cookies and mobile device identifiers. We use data from cookies, mobile device identifiers, and other tracking technologies to help advertisers decide whether to bid on, and how to price, an ad impression in a certain location, at a given time, for a particular consumer. Without cookies, mobile device identifiers, and other tracking technology data, transactions processed through our platform would be executed with less insight into consumer activity, reducing the precision of advertisers' decisions about which impressions to purchase for an advertising campaign. This could make placement identifiers advertising through our platform less valuable, and harm our revenue. If our ability to use cookies, mobile device identifiers or other tracking technologies is limited, we may be required to develop or obtain additional applications and technologies to compensate for the lack of cookies, mobile device identifiers and other tracking technology data, which could be time consuming or costly to develop, less effective, and subject to additional regulation.</w:t>
      </w:r>
    </w:p>
    <w:p>
      <w:pPr>
        <w:spacing w:after="0" w:line="6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Additionally, consumers can, with increasing ease, implement technologies that limit our ability to collect and use data to deliver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Some prominent technology companies, including Google, have also announced intentions to discontinue the use of cookies, and to develop alternative methods and mechanisms for tracking consumers. As companies replace cookies, it is possible that such companies may rely on proprietary algorithms or statistical methods to track consumers without cookies, or may utilize log-in credentials entered by consumers into other web properties owned by these companies, such as their email services, to track web usage, including usage across multiple devices.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Alternatively, such companies may build different and potentially proprietary consumer tracking methods into their widely-used web browsers. Although we believe our platform is well-positioned to adapt and continue to provide key data insights to our publishers without cookies, this transition could be more disruptive, slower, or more expensive than we currently anticipate, and could materially affect our ability to serve our customers, and our business, results of operations, and financial condition could be adversely affected. Many applications and other devices also allow consumers to avoid receiving advertisements by paying for subscriptions or other downloads. Mobile devices using Android and iOS operating systems limit the ability of cookies to track consumers while they are using applications other than their web browser on the device. As a consequence, fewer of our cookies or publishers' cookies may be set in browsers or be accessible in mobile devices, which adversely affects our business.</w:t>
      </w:r>
    </w:p>
    <w:p>
      <w:pPr>
        <w:spacing w:after="0" w:line="6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it could reduce the volume or effectiveness and value of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because we rely on third-party data, while some large competitors have troves of first-party data they use to direct advertising. Other technologies allow ads that are deemed “acceptable,” which could be defined in ways that place us or our publishers at a disadvantage, particularly if such technologies are controlled or influenced by our competitors. Even if ad blockers do not ultimately have an adverse effect on our business, investor concerns about ad blockers could cause our stock price to decline.</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depends on our ability to collect, use, and disclose data to deliver advertisements. Any limitation imposed on our collection, use or disclosure of this data could significantly diminish the value of our solution and cause us to lose publishers, buyers, and revenue. Consumer tools, regulatory restrictions and technological limitations all threaten our ability to use and disclose data.</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identify the individual, including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aggregate this data and analyze it in order to enhance our services, including the pricing, placement, and scheduling of advertisements. As part of our real-time analytics service offering we also share the data, or analyses based on it, with our publishers and buyers. Our ability to collect, use and share data about advertising transactions and consumer behavior is critical to the value of our services. Evolving and conflicting regulatory standards could place restrictions on the collection, management, aggregation and use of information, which could result in a material increase in the cost of collecting or otherwise obtaining certain kinds of data and could limit the ways in which we may use or disclose information. Internet users can, with increasing ease, implement practices or technologies that may limit our ability to collect and use data to deliver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Any limitations on this ability could impair our ability to deliver effective solutions, which could adversely affect our business, results of operations, and financial condition.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publishers, buyers, and data providers do not obtain necessary and requisite consents from consumers for us to process their personal data, we could be subject to fines and liability.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we do not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but if publishers, buyers, or data providers do not follow this process (and in any event as the legal requirements in this area continue to evolve and develop), we could be subject to fines and liability. We may not have adequate insurance or contractual indemnity arrangements to protect us against any such claims and losses.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the Advertising Industry and Competition</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digital advertising industry is intensely competitive, and if we do not effectively compete against current and future competitors, our business, results of operations, and financial condition could be adversely affected.</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digital advertising ecosystem is competitive and complex due to a variety of factors. While programmatic header bidding has enabled the purchasing and selling of vast amounts of digital advertising inventory, there now exist significant challenges related to proliferation of media across platforms, transaction speed, increased costs, transparency, and regulatory requirements. To address these issues at scale for both buyers and sellers, we provide specialized software and hardware infrastructure to optimally power technology-driven transactions. To successfully grow our business, we compete with SSPs like Magnite, Inc., smaller private SSPs in markets around the world, as well as divisions of larger companies like Google.</w:t>
      </w:r>
    </w:p>
    <w:p>
      <w:pPr>
        <w:spacing w:after="0" w:line="5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Some of our competitors have longer operating histories, greater name recognition, and greater financial, technical, sales, and marketing resources than we have.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provide. Some of our competitors may also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experience requests from publishers and buyers for discounts, fee concessions, rebates, or other forms of consideration, refunds, and greater levels of pricing transparency, in some cases as a condition to maintain the relationship or to increase the amount of advertising spend that the buyer sends to our platform. In addition, we charge fees to publishers for use of our platform,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spacing w:after="0" w:line="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Some of our competitors are also able or willing to agree to contract terms that expose them to risks that might be more appropriately allocated to publishers or buyers of advertising (including inventory risk and the risk of having to pay publishers for unsold advertising impressions), and in order to compete effectively we might need to accommodate risks that could be difficult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to the extent that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There has also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Many publishers and buyers are large consolidated organizations that may need to acquire other companies in order to grow. Smaller publishers and buyers may need to consolidate in order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pressure may reduce our revenue per impression.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revenue may be affected by market changes, new demands by publishers and buyers, new solutions, and competitive pressure. Our solutions may be priced too high or too low, or our pricing approaches may not be accepted, any of which may carry adverse consequences. We may receive requests from publishers for discounts, fee revisions, rebates, and refunds, or from DSPs, agencies and advertisers for volume discounts, fee revisions, and rebates. Any of these developments could adversely affect our business, results of operations, and financial condition.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Seasonal fluctuations or market changes in digital advertising activity could adversely affect our business, results of operations, and financial condition.</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revenue, net cash provided by operating activities, results of operations, and other key operating and performance metrics may vary from quarter to quarter due to the seasonal nature of digital advertising spending.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In addition, adverse economic conditions, inflation, changes in foreign exchange rates or interest rates, or general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ad formats and digital device types develop in ways that prevent advertisements from being delivered to consumers, our business, results of operations, and financial condition may be adversely affected.</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and our access to content on certain devices may be limited. If our platform cannot operate effectively with popular devices, operating systems, or Internet browsers, our business, results of operations, and financial condition could be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detect or prevent fraud on our platform, or malware intrusion into the systems or devices of our publishers and their consumers, publishers could lose confidence in our platform, and we could face legal claims.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the systems, and devices of our publishers, and their consumers in order to misappropriate information, generate fraudulent billings or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in order to commandeer or gain access to information on consumers’ computers. We use third-party tools and proprietary technology to identify non-human traffic and malware, and we may reduce or terminate relationships with publishers that we find to be engaging in such activities. Although we continuously assess the quality and performance of advertising on publishers’ digital media properties, it may be difficult to detect fraudulent or malicious activity. Further, perpetrators of fraudulent impressions and malware frequently change their tactics and may become more sophisticated over time, requiring both us and third parties to improve processes for assessing the quality of publisher inventory and controlling fraudulent activity. If we fail to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retain key members of our management team, and on our ability to hire, train, retain, and motivate new employees.</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The market for talent in our key areas of operations, especially in engineering, and competition for qualified personnel is particularly intense in the San Francisco Bay Area, Pune, India, and New York, where we maintain offices. As we expand and change, in particular across multiple geographies or following acquisitions, it may be difficult to preserve our corporate culture, which could reduce our ability to innovate, create, and operate effectively.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payment-related risks if DSPs dispute or do not pay their invoices, and any decreases in payments or in our overall take rate could adversely affect our business, results of operations, and financial condition.</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been forced into filing for bankruptcy protection, resulting in us not receiving payment. These challenges may be exacerbated by the overall market and economic volatility, inflation, changes in foreign exchange rates or interest rates, disruptions to supply chains, and the COVID-19 pandemic and resulting economic impact, as many of our buyers are experiencing financial difficulties and liquidity constraints. In certain cases, buyers have been unable to timely make payments and we have suffered losses. For example, in early 2019, the advertising company Sizmek declared bankruptcy, which led us to lose approximately $6 million in contracted spending on our platform. While our contracts generally do not contain such exposure, there are certain agreements under which we may be responsible for the whole amount of contracted spending, whether or not ultimately paid by the buyer.</w:t>
      </w:r>
    </w:p>
    <w:p>
      <w:pPr>
        <w:spacing w:after="0" w:line="7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a prolonged economic downturn may lead additional buyers to slow or default on payments or in some cases seek bankruptcy protection. We cannot assure you that we will not experience bad debt in the future, and write-offs for bad debt could adversely affect our business, results of operations, or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subject us to additional costs and risks, and our continued international expansion may not be successful.</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and financial infrastructure. The costs and risks inherent in conducting business internationally include, but are not limited to:</w:t>
      </w:r>
    </w:p>
    <w:p>
      <w:pPr>
        <w:spacing w:after="0" w:line="5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associated with maintaining effective controls at foreign locations;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adapting our platform and solutions to non-U.S. publishers’ preferences and customs;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and other delays and difficulties in setting up foreign operations, including staffing difficulties;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anti-bribery laws and regulations, export and import control and economic sanctions,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foreign data privacy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and political instability in some countries, including as a result of the conflict in Ukraine;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the laws of numerous taxing jurisdictions.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we continue to expand our business globally, our success will depend, in large part, on our ability to anticipate and effectively manage these risks. These factors and others could harm our ability to increase international revenues and, consequently, could adversely affect our business, results of operations, and financial condition.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and reliance upon technology and development resources in India may expose us to unanticipated costs and liabilities, which could affect our ability to realize cost savings from our operations in India.</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spacing w:after="0" w:line="7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hiring and retaining engineering and management resources due to intense competition for such resources and resulting wage inflation;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exposure to changes in economic, health, security, and political conditions in India;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currency exchange rates and tax compliance in India.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third-party data centers, the disruption of which could adversely affect our business, results of operations, and financial condition.</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of these facilities.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w:t>
      </w:r>
    </w:p>
    <w:p>
      <w:pPr>
        <w:spacing w:after="0" w:line="7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spacing w:after="0" w:line="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Platform outages or disruptions, including due to cyberattacks or our failure to maintain adequate security and supporting infrastructure, could adversely affect our business, results of operations, and financial condition.</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growing increasingly more sophisticated and could involve denial-of-service attacks or other maneuvers that have the effect of disrupting the availability of services on our platform.</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software platform could be susceptible to errors, defects, or unintended performance problems that could adversely affect our business, results of operations, and financial condition.</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w:t>
      </w:r>
    </w:p>
    <w:p>
      <w:pPr>
        <w:spacing w:after="0" w:line="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example, changes to our solution have in the past caused errors in the measurements of transactions conducted through our platform, resulting in disputes raised by publishers. Errors or failures in our solution, even if caused by the implementation of changes by publishers or partners to their systems, could also result in negative publicity, damage to our reputation, loss of or delay in market acceptance of our solution,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business success depends upon our ability to offer high-quality inventory with appropriate viewability capabilities.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If we fail to maintain high quality controls for our publishers and partners, our business, results of operations, and financial condition could be adversely affected.</w:t>
      </w:r>
    </w:p>
    <w:p>
      <w:pPr>
        <w:spacing w:after="0" w:line="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spacing w:after="0" w:line="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part of our growth strategy, we may acquire or invest in other businesses, assets or technologies that are complementary to and fit within our strategic goals. Any acquisition or investment may divert the attention of management and require us to use significant amounts of cash, issue dilutive equity securities or incur debt. Any additional capital raised through the sale of equity or convertible debt securities would dilute your stock ownership, and any new equity securities we issue could have rights, preferences, and privileges superior to those of holders of our common stock.</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spacing w:after="0" w:line="7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in integrating the operations, technologies, product or service offerings, administrative systems, and personnel of acquired businesses;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maintain key business relationships and reputation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arising from the acquisition or the activities of the acquired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generate the expected financial results related to an acquisition in a timely manner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accurately forecast the impact of an acquisition;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or remediation of effective controls, procedures, and policies for acquired businesses.</w:t>
      </w:r>
    </w:p>
    <w:p>
      <w:pPr>
        <w:spacing w:after="0" w:line="171"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rely on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publishers, buyers, and partners. In addition, we may have responsibility for some acts or omissions of publishers, buyers, or partners transacting business through our platform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contractually require our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Publishers often have terms of use in place with their consumers that disclaim or limit their potential liabilities to such consumers, or pursuant to which consumers waive rights to bring class-action lawsuits against the publishers related to advertisements.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insurance policies, may not cover, such claims and losses.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 of catastrophic events such as pandemics, earthquakes, flooding, fire, and power outages, and to interruption by man-made problems such as acts of war and terrorism.</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one office and one data center facility located in California, a state known for seismic activity. Significant portions of our development and advertising operations work is located in Pune, India, which is susceptible to earthquakes and flooding. In addition, economic or political instability caused by the conflict in Ukraine, or international responses thereto, could adversely affect our business, results of operations, and financial condition. Furthermore, acts of 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run our business and either directly or indirectly disrupt publishers’ and partners’ businesses, which could adversely affect our business, results of operations, and financial condition.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constantly evolving laws, regulations and industry requirements related to data privacy, data protection, information security, and consumer protection across the markets we operate in.</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receive, store, and process data about or related to consumers in addition to our customers,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spacing w:after="0" w:line="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United States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 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Because we, and our customers,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7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United States, the U.S. Congress and state legislatures, along with federal regulatory authorities have recently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w:t>
      </w:r>
    </w:p>
    <w:p>
      <w:pPr>
        <w:spacing w:after="0" w:line="4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California enacted legislation, the CCPA that became operative on January 1, 2020 and became enforceable by the California Attorney General on July 1, 2020, along with related regulations which came into force on August 14, 2020. The CCPA creates individual privacy rights for California residents and increases the privacy and security obligations of businesses handling personal data. The CCPA is enforceable by the California Attorney General and there is also a private right of action relating to certain data security incidents. The CCPA generally requires covered businesses to, among other things, provide new disclosures to California consumers and afford California consumers new abilities to opt-out of certain sales of personal information, a concept that is defined broadly, and although formal guidance has not been issued, behavioral advertising is believed to be a sale under CCPA by us, consumer advocacy groups and in some cases our larger competitors. We cannot yet fully predict the impact of the CCPA or subsequent guidance on our business or operations, but it may require us to further modify our data processing practices and policies and to incur substantial costs and expenses in an effort to comply. Decreased availability and increased costs of information could adversely affect our ability to meet our customers’ requirements and could have an adverse effect on our business, results of operations, and financial condition.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a California ballot initiative, the California Privacy Rights Act (the “CPRA”), imposes additional data protection obligations on companies doing business in California, including additional consumer rights processes and opt-outs for certain uses of sensitive data and sharing of personal data starting on January 1, 2023. The effects of the CCPA and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8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CCPA has encouraged “copycat” laws and in other states across the country. For example, in March 2020, Virginia passed the Consumer Data Protection Act (the “CDPA”) which took effect in January 2023. The CDPA is enforceable by the Virginia Attorney General and creates individual privacy rights for Virginia residents and increases the privacy obligations of businesses handling sensitive personal data. In July 2021, Colorado passed the Colorado Privacy Act (the “CPA”) which takes effect in July 2023. The CPA is enforceable by the Colorado Attorney General and also creates individual privacy rights for Colorado residents and increases the privacy obligations of business handling personal data. We cannot yet fully predict the impact of such state laws or subsequent guidance on our business or operations, but it may require us to further modify our data processing practices and policies and to incur substantial costs and expenses in an effort to comply. Other proposed legislation may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Similar laws have also been enacted by Utah and Connecticut, and numerous other U.S. states in which we operate and the U.S. federal government are also considering privacy legislation.</w:t>
      </w:r>
    </w:p>
    <w:p>
      <w:pPr>
        <w:spacing w:after="0" w:line="6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Europe, the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Failure to comply with GDPR may result in significant penalties for non-compliance of up to the greater of €20 million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Further, in the European Union, regulators are increasingly focusing on compliance with requirements in the online behavioral advertising ecosystem, and current national laws that implement the ePrivacy Directive will be replaced by an EU Regulation, known as the ePrivacy Regulation, which will significantly increase fines for non-compliance and impose burdensome requirements around obtaining consent. While the text of the ePrivacy Regulation is still under development, a recent European court decision and regulators’ recent guidance are driving increased attention to cookies and tracking technologies. As regulators start to enforce the strict approach (which has already begun to occur in Germany,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some countries are considering or have passed legislation implementing data protection requirements or requiring local storage and processing of data or similar requirements that could increase the cost and complexity of delivering our services, including Brazil, Thailand, and Japan. Any failure to achieve required data protection standards (which are not currently clear when applied to the online advertising ecosystem) may result in lawsuits, regulatory fines, or other actions or liability, all of which may harm our results of operations. Because the interpretation and application of privacy and data protection laws such as the CCPA and GDPR, and the related regulations and standards, are uncertain, it is possible that these laws, regulations and standards may be interpreted and applied in manners that are, or are asserted to be, inconsistent with our data management practices or the technological features of our solutions.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also subject to regulation with respect to political advertising activities, which are governed by various federal and state laws in the United States, and national and provincial laws worldwide. Online political advertising laws are rapidly evolving and our publishers may impose restrictions on receiving political advertising.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w:t>
      </w:r>
    </w:p>
    <w:p>
      <w:pPr>
        <w:spacing w:after="0" w:line="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spacing w:after="0" w:line="1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collect, maintain, transmit and store data about consumers, employees, partners and others, including personally identifiable information, as well as other confidential information.</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also engage third parties that store, process and transmit these types of information on our behalf. We rely on encryption and authentication technology licensed from third parties in an effort to securely transmit confidential and sensitive information, including payment information.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and credential stuffing. Our security measures, and those of our third-party service providers, might not detect or prevent all attempts to breach our systems, denial-of-service attacks, viruses, malicious software, break-ins, phishing attacks, social engineering, security breaches, ransomware, credential stuffing attacks or other attacks and similar disruptions that may jeopardize the security of information stored in or transmitted by our websites, networks and systems or that we or such third parties otherwise maintain, including payment card systems, which may subject us to fines or higher transaction fees or limit or terminate our access to certain payment methods. We and such third parties might not anticipate or prevent all types of attacks until after they have already been launched. Further, techniques used to obtain unauthorized access to or sabotage systems change frequently and might not be known until launched against us or our third-party service providers. In addition, security breaches can also occur as a result of non-technical issues, including intentional or inadvertent breaches by our employees or by third parties. These risks may increase over time as the complexity and number of technical systems and applications we use also increases.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Breaches of our security measures or those of our third-party service providers or cyber security incidents could result in unauthorized access to our mobile applications, sites, networks and systems; unauthorized access to and misappropriation of data and customer information, including customers’ personally identifiable information, or other confidential or proprietary information of ourselves or third parties; viruses, worms, spyware or other malware being served from our mobile applications, sites, networks or systems; deletion or modification of content or the display of unauthorized content on our mobile applications or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and other potential liabilities. In the future, we may experience social engineering, phishing, malware and similar attacks and threats of denial-of-service attacks and such attacks could have a material adverse effect on our operations.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user’s password could access the user’s transaction data or personal information, resulting in the perception that our systems are insecure.</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Many U.S. and foreign laws and regulations require companies to provide notice of data security breaches and/or incidents involving certain types of personal data to individuals, the media, government authorities or other third parties. In addition, some of our customers contractually require notification of data security breaches. Any compromise or breach of our security measures, or those of our third-party service providers, could cause significant legal and financial exposure, adverse publicity and a loss of confidence in our security measures, which could have a material adverse effect on our business, results of operations, financial condition and prospects. There can be no assurance that any limitations of liability provisions in our contracts would be enforceable or adequate or would otherwise protect us from any such liabilities or damages with respect to any particular claim arising from a cyber incident. We also cannot be sure that our existing cyber insurance coverage, general liability insurance coverage and coverage for errors or omissions will fully cover such incident, continue to be available on acceptable terms or will be available in sufficient amounts to cover one or more large claims, or that insurers will not deny coverage as to any future claim. One or more large, successful claims against us in excess of our available insurance coverage, or changes in our insurance policies, including premium increases or large deductible or co-insurance requirements, could have an adverse effect on our business, operating results and financial condition.</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Legal uncertainty and industry unpreparedness for new regulations may mean substantial disruption and inefficiency, demand constraints, and reduced inventory supply and value.</w:t>
      </w:r>
    </w:p>
    <w:p>
      <w:pPr>
        <w:spacing w:after="0" w:line="6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Some of our publishers may be unprepared to comply with evolving regulatory guidance under the CCPA, CPRA, GDPR, CDPA or other new regulations, and may therefore remove personal data from their inventory before passing it into the bid stream, at least temporarily. This may lower their inventory, resulting in loss of ad spend and revenue for us. Further, since we do not have direct relationships with end users, we rely on publishers to obtain such consents as required. While we can and do provide training and guidance on compliance, the nature of the ecosystem and technology does not support 100% verification that consent from end users has been obtained, when required, and we may unknowingly pass on consumer personal information when we should not be. This exposes us to potential regulatory scrutiny, investigations, fines, penalties, and other legal and financial exposure. Additionally, privacy and data protection laws are evolving, and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their compliance programs and integrate with multiple other parties in the ecosystem. Further, compliance program design and implementation will be an ongoing process as understanding of the CCPA, GDPR, or other new regulations increase and industry compliance standards evolve. The resulting process friction could result in substantial inefficiency and loss of inventory and demand, as well as increased burdens upon our organization as we seek to assist customers and adapt our own technology and processes as necessary to comply with the law and adapt to industry practice. The uncertain regulatory environment caused by the CCPA, GDPR, or other new regulations may disadvantage us in comparison to large, integrated competitors such as Google and Facebook, which have greater compliance resources and can take advantage of their direct relationships with end users to secure consents from end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Recent rulings from the Court of Justice of the European Union invalidated the EU-US Privacy Shield as a lawful means for transferring personal data from the European Union to the United States; this introduces increased uncertainty and may require us to change our EU data practices and/or rely on an alternative legally sufficient compliance measure.</w:t>
      </w:r>
    </w:p>
    <w:p>
      <w:pPr>
        <w:spacing w:after="0" w:line="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GDPR generally prohibits the transfer of personal data of EU subjects outside of the European Union, unless a lawful data transfer solution has been implemented or a data transfer derogation applies. On July 16, 2020, in a case known as Schrems II, the Court of Justice of the European Union (the “CJEU”) ruled on the validity of two of the primary data transfer solutions. The first method, EU-US Privacy Shield operated by the U.S. Department of Commerce, was declared invalid as a legal mechanism to transfer data from Europe to the United States. As a result, despite the fact that we have certified our compliance to the EU-US Privacy Shield, our customers may no longer rely on this mechanism as a lawful means to transfer European data to us in the United States.</w:t>
      </w:r>
    </w:p>
    <w:p>
      <w:pPr>
        <w:spacing w:after="0" w:line="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October 2022, the Biden administration negotiated new privacy shield terms with EU regulators, and signed an Executive Order in October 2022 directing the steps the United States will take to implement its commitments to the EU/US data privacy framework. The new proposed Privacy Shield terms are subject to further review by the European Commission or EC and member states. Max Schrems, who brought the lawsuit which resulted in the invalidation of Privacy Shield in 2020, has indicated that he will legally challenge these newly proposed Privacy Shield terms.</w:t>
      </w:r>
    </w:p>
    <w:p>
      <w:pPr>
        <w:spacing w:after="0" w:line="6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second mechanism, Standard Contractual Clauses (“SCCs”), an alternative transfer measure that we also offer to our EU customers for extra-EU data transfers, was upheld as a valid legal mechanism for transnational data transfer. However, the ruling requires that European organizations seeking to rely on the SCCs to export data out of the European Union ensure the data is protected to a standard that is “essentially equivalent” to that in the European Union including, where necessary, by taking “supplementary measures” to protect the data. It remains unclear what “supplementary measures” must be taken to allow the lawful transfer of personal data to the United States, and it is possible that EU data protection authorities may determine that there are no supplementary measures that can legitimize EU-US data transfers. For the time being, we will rely on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issued updated Standard Contractual Clauses (“New SCCs”) that require additional information for transnational data transfers. New agreements must incorporate the New SCCs effective September 27, 2021 and existing agreements must incorporate the New SCCs by December 27, 2022. It remains unclear whether SCCs or New SCCs can cover our use of cookies and other tracking technologies placed directly on consumer’s browsers or devices through our publishers or buyers’ websites.</w:t>
      </w:r>
    </w:p>
    <w:p>
      <w:pPr>
        <w:spacing w:after="0" w:line="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may also need to restructure our data export practices as a result of Brexit. European Union law may cease to apply to the United Kingdom. This means that data may not be able to flow freely between the European Union and the United Kingdom, and our United Kingdom subsidiaries may need to enter into SCCs and adopt “supplementary measures” both with customers and other group entities or enter into New SSCs, in order to ensure the continuing flow of data to and from the United Kingdom subsidiary. We would likely need to restructure our transfers of European data via another European subsidiary and have such entity enter into the SCCs or New SCCs with other group entities and implement “supplementary measures” to ensure the continuing flow of data from the European Union to the United States. In the event that use of the SCCs or New SSCs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could increase the cost and complexity of operating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adversely affect our business, results of operations, and financial condition.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complying with government regulations, we participate in trade associations and industry self-regulatory groups that promote best practices or codes of conduct addressing privacy.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Any representations that we make regarding our adherence to self-regulatory standards could result in regulatory action if we fail to meet them. Any such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our publishers or others.</w:t>
      </w:r>
    </w:p>
    <w:p>
      <w:pPr>
        <w:spacing w:after="0" w:line="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and are constantly evolving in the United States, European Union, and other countries.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have an adverse effect on our business, results of operations, and financial condition.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economic sanctions requirements and export and import controls that could impair our ability to compete in international markets or subject us to civil or criminal liability.</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failure to successfully comply may expose us to negative legal and business consequences, including civil or criminal penalties, governmental investigations, and reputational harm.</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international markets or prevent our customers with international operations from deploying our platform globally. Any change in export or import regulations,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upon a combination of trade secrets, third-party confidentiality and non-disclosure agreements, additional contractual restrictions on disclosure and use, and trademark, copyright, patent, and other intellectual property laws to establish and protect our proprietary technology and intellectual property rights. We currently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may be limited. Historically, we have prioritized keeping our technology architecture, trade secrets, and engineering roadmap private,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w:t>
      </w:r>
    </w:p>
    <w:p>
      <w:pPr>
        <w:spacing w:after="0" w:line="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also cannot guarantee that others will not independently develop technology with the same or similar functions to any proprietary technology we rely on to conduct our business and differentiate ourselves from our competitors. Unauthorized parties may also attempt to copy or obtain and use our technology to develop applications with the same functionality as our solutions, and policing unauthorized use of our technology and intellectual property rights is difficult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6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customer agreements generally restrict the use of our confidential information solely to such customer’s use in connection with its use of our services. In spite of such limitations, reverse engineering our software or the theft or misuse of our confidential information could occur by customers or other third parties who have access to our technology.</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the employees or consultants party thereto.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our contractors end their relationship with us, and, in some cases, decide to work for our competitors. Enforceability of the non-compete agreements that we have in place is not guaranteed, and contractual restrictions could be breached without discovery or adequate remedies.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technology or intellectual property.</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parties claims if our publishers or buyers do not have sufficient rights to the content, technology, data, or other material associated with an ad impression that they provide, or if it infringes or is alleged to infringe the intellectual property rights of such parties. We may also face allegations that our employees have misappropriated or divulged the intellectual property of their former employers or other third parties. Regardless of whether claims that we are infringing patents or other intellectual property rights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Results of these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adversely affect on business, results of operations, and financial condition.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to conduct our business.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spacing w:after="0" w:line="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injure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monitor our use of open source software to avoid subjecting our platform to conditions we do not intend,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and Accounting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controls, our ability to produce accurate financial statements and other disclosures on a timely basis could be impaired.</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This assessment must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Section 404(b) of the Sarbanes-Oxley Act requires our independent registered public accounting firm to annually attest to the effectiveness of our internal control over financial reporting, which requires increased costs, expenses, and management resources. An independent assessment of the effectiveness of our internal controls could detect problems that our management’s assessment might not. Undetected material weaknesses in our internal controls could lead us to restate our financial statements, which could cause investors to lose confidence in our reported financial information, have a negative effect on the trading price of our common stock, and result in additional costs to remediate such material weaknesses. We are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w:t>
      </w:r>
    </w:p>
    <w:p>
      <w:pPr>
        <w:spacing w:after="0" w:line="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Market.</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would likely have a negative effect on the trading price of our Class A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operating and financial covenants that may restrict our business and financing activities.</w:t>
      </w:r>
    </w:p>
    <w:p>
      <w:pPr>
        <w:spacing w:after="0" w:line="117"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As of December 31, 2022, we had no outstanding borrowings under our Senior Secured Credit Facilities Credit Agreement (the “Credit Agreement”) with Silicon Valley Bank (“SVB”). Borrowings under the Credit Agreement are secured by substantially all of our assets, The Credit Agreement contains customary representations and warranties as well as customary affirmative and negative covenants. Negative covenants include, among others, limitations on incurrence of, indebtedness, liens, dispositions of property and investments by us and our subsidiaries. In addition, the Credit Agreement requires us to</w:t>
      </w:r>
    </w:p>
    <w:p>
      <w:pPr>
        <w:spacing w:after="0" w:line="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maintain certain interest coverage, leverage and senior leverage ratios. The operating and financial restrictions and covenants in the Credit Agreement, as well as any future financing arrangements that we may enter into, may restrict our ability to finance our operations, engage in, expand, or otherwise pursue our business activities and strategies. Our ability to comply with these or other covenants may be affected by events beyond our control, and future breaches of these or other covenants could result in a default under the Credit Agreement. If not waived, future defaults could cause all of the outstanding indebtedness under our Credit Agreement to become immediately due and payable and terminate all commitments to extend further credit.</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do not have or are unable to generate sufficient cash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as a going concern.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liabilities may be greater than anticipated.</w:t>
      </w:r>
    </w:p>
    <w:p>
      <w:pPr>
        <w:spacing w:after="0" w:line="11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U.S. and non-U.S. tax laws applicable to our business activities are subject to interpretation and are changing.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For example, the European Commission has proposed, and various jurisdictions have enacted or are considering enacting laws that impose separate taxes on specified digital services, which may increase our tax obligations in such jurisdictions.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will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changes could affect our effective tax rate and future profitability.</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Changes in U.S. federal, state or foreign tax laws and regulations, or their interpretation and application, including those with retroactive effect, could affect our tax expense, operating results, and/or cash flows. For example, beginning in 2022, the Tax Cuts and Jobs Act of 2017 (“Tax Act”) eliminated the option to immediately deduct research and development expenditures in the year incurred and required taxpayers to amortize such costs incurred in the U.S. over five years, and in foreign jurisdictions over fifteen years. Such tax law changes may have an adverse effect on our cash taxes and as a result, our operating results, financial condition, and/or cash flows. The issuance of additional guidance related to the Tax Act, or other actions by governments in the United States or globally could significantly increase our tax obligations and the effective tax rate in future periods.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trading price of the shares of our Class A common stock has been and may continue to be volatile and could subject us to litigation.</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Technology stocks historically have experienced high levels of volatility. The trading price of our Class A common stock has fluctuated substantially and may continue to do so. These fluctuations could cause you to incur substantial losses, including all of your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spacing w:after="0" w:line="79" w:lineRule="exact"/>
        <w:rPr>
          <w:sz w:val="20"/>
          <w:szCs w:val="20"/>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market price and trading volume of technology companies in general and of companies in the digital advertising industry in particular;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new solutions or technologies, commercial relationships, acquisitions, or other events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sales of large blocks of our common stock; actual or anticipated changes or fluctuations in our results of operations or financial projections;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or regulatory developments or actions, or litigation involving us, our industry, or both;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and trends or catastrophic events in our domestic and foreign markets.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Insiders have substantial control over our company, including as a result of the dual class structure of our common stock, which could limit or preclude your ability to influence corporate matters, including the election of directors and the approval of any change of control transaction.</w:t>
      </w:r>
    </w:p>
    <w:p>
      <w:pPr>
        <w:spacing w:after="0" w:line="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Class B common stock has ten votes per share, and our Class A common stock has one vote per share. Transfers of stock by holders of Class B common stock will generally result in those shares converting to Class A common stock, subject to limited exceptions. As of January 31, 2023, our directors and officers, and their respective affiliates, beneficially owned in the aggregate approximately 64.1%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spacing w:after="0" w:line="1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you to sell your common stock at a time and price that you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other corporate governance changes.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76"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board to issue shares of preferred stock without stockholder approval, which could be used to significantly dilute the ownership of a hostile acquirer;</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effective upon such time as the outstanding shares of our Class B common stock represent less than a majority of the combined voting power of our common stock;</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our chief executive officer, our lead director, or a majority of our board;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board to amend the bylaws, which may allow it to take additional actions to prevent an unsolicited takeover and inhibit the ability of an acquirer;</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or to propose matters to be acted upon at a stockholders’ meeting; and</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5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lease office and data center space in various cities across North America, Europe and Asia Pacific. We believe that our facilities are adequate to meet our needs for the immediate future and that, should it be needed, we will be able to secure additional space to accommodate expansion of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9 to our consolidated financial statements included elsewhere in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Class A common stock began trading on the Nasdaq Global Market on December 9, 2020 under the symbol “PUBM.” Prior to that date, there was no public trading market for our Class A common stock. There is no public trading market for our Class B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January 31, 2023, there were 107 holders of record of our Class A common stock and 84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may deem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required by this item will be included in our proxy statement relating to our 2023 annual meeting of stockholders to be filed by us with the SEC no later than 120 days after the close of our fiscal year ended December 31, 2022 (the “Proxy Statement”) and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spacing w:after="0" w:line="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following graph compares the cumulative total stockholder return on an initial investment of $100 in our Class A common stock between December 9, 2020 (the date our Class A common stock commenced trading on the Nasdaq Global Market) through December 31, 2022, with the comparative cumulative total returns of the Nasdaq Composite Index, the Nasdaq US Benchmark Software and Computer Services TR Index and the Nasdaq CTA Internet Total Return Index over the same period. The graph uses the closing market price on December 9, 2020 of $29.45 per share as the initial value of our Class A common stock. We have not paid any cash dividends: therefore, the cumulative total return calculation for us is based solely upon stock price appreciation and not the reinvestment of cash dividends, whereas the data for the comparative indexes assumes reinvestments of dividends. The returns shown are based on historical results and are not indicative of, nor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12065</wp:posOffset>
            </wp:positionV>
            <wp:extent cx="5657850" cy="3257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initial public offering of our Class A common stock was effected pursuant to a registration statement on Form S-1 (File No. 333-250077), which was declared effective by the SEC on December 8, 2020.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initial public offering as described in our final prospectus dated December 8, 2020 (the “Prospectus”) filed with the SEC pursuant to Rule 424(b)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an independent technology company seeking to maximize customer value by delivering digital advertising’s supply chain of the future. Our sell-side platform empowers the world’s leading digital content creators across the open internet to control access to their inventory and increase monetization by enabling marketers to drive ROI and reach addressable audiences across ad formats and devices. Since 2006, our infrastructure-driven approach has allowed for the efficient processing and utilization of data in real time. By delivering scalable and flexible programmatic innovation, we improve outcomes for our customers while championing a vibrant and transparent digital advertising supply chain.</w:t>
      </w:r>
    </w:p>
    <w:p>
      <w:pPr>
        <w:spacing w:after="0" w:line="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specialized cloud infrastructure platform provides superior monetization for publishers by increasing the value of an impression and providing incremental demand through our deep and growing relationships with buyers. We are aligned with our publisher and app developer partners by being independent. We do not own media and therefore do not have a vested interest in driving ad revenue to specific media properties. Our global platform is omnichannel, supporting a wide array of ad formats and digital device types, including mobile app, mobile web, desktop, display, video, OTT, CTV, and rich media.</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2022, our platform efficiently processed approximately 524 billion ad impressions daily, each in a fraction of a second, and 7.4 petabytes of data every day. During the fiscal year ended December 31, 2022, we added approximately 200 net new publishing partners. As of December 31, 2022, we served approximately 1,650 publishers and app developers representing over 92,000 individual domains and apps worldwide on our platform across a diverse group of content verticals such as news, e-commerce, gaming, media, weather, fashion, technology, and more, including many of the leading digital companies such as Yahoo, formerly Verizon Media Group, and News Corp. We have demonstrated that we can retain revenues from our publisher customers, as evidenced by our net dollar-based retention rate of 108% for the year ended December 31, 2022 and 149% for the year ended December 31, 2021.</w:t>
      </w:r>
    </w:p>
    <w:p>
      <w:pPr>
        <w:spacing w:after="0" w:line="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generate revenue from publishers primarily through revenue share agreements, generally one-year contracts that renew automatically for successive one-year periods, unless terminated prior to renewal. We primarily work with publishers and app developers who allow us direct access to their ad inventory, as well as select channel partners that meet our quality and scale thresholds. We refer to our publishers, app developers, and channel partners collectively as our publishers.</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enter into written service agreements with our DSP buyers that allow them to use our platform to buy ad inventory, but we earn revenue from our publishers. Our platform service agreements with DSPs generally have one-year terms that renew automatically for successive one-year periods, unless terminated prior to renewal. We also negotiate SPO agreements with agencies and advertisers that encourage these buyers to spend a higher share of their advertising budgets on our platform. SPO agreements typically have a one-year term and renewal terms are generally discussed one quarter prior to a new term. The effect of these SPO agreements is to increase the volume of ad spend on our platform without corresponding increases in technology costs.</w:t>
      </w:r>
    </w:p>
    <w:p>
      <w:pPr>
        <w:spacing w:after="0" w:line="5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September 16, 2022, we acquired all outstanding stock of ConsultMates, Inc. (dba “Martin”), a media measurement and reporting platform, for $30.8 million. The acquisition is in response to growing demand from our buy-side customers for enhanced tools to take advantage of our global omnichannel inventory, including market-leading addressability solutions and innovative technology to enable supply path optimization. Our consolidated results of operations for the fiscal year ended December 31, 2022, including the operating results of Martin from the date of acquisition. For additional information, see Note 7, “Business Combination” to our consolidated financial statements included elsewhere in this Annual Report on Form 10-K.</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fourth quarter of 2022, mobile (including mobile video) and video (including OTT/CTV) combined comprised approximately 74% of our revenue. We anticipate mobile to continue increasing as a percentage of our total impressions and revenue in the future. We further expect video to constitute an increasingly important component of our business.</w:t>
      </w: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Macroeconomic Factors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Ongoing interest rate increases, foreign currency fluctuation and persistent inflation in the U.S. and other markets globally may increase the risk of economic volatility and dislocation in the capital or credit markets in the U.S. or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spacing w:after="0" w:line="7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the COVID-19 pandemic and its variants resulted, and may continue to result, in a global slowdown of economic activity across a broad variety of goods and services, including those provided by certain of the advertisers on our platform. This situation could also potentially limit our ad buyers’ budgets or disrupt sales channels and advertising and marketing activities generally. As new variants of COVID-19 emerge and global governments take a variety of approaches to limiting its spread, these disruptive effects may continue for an unknown period of time, with varied effects across markets.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our revenue subsequently returned to growth, the impact of the pandemic on our future growth and our results of operations is unknown and we are unable to accurately predict the future impact. The extent of the impact of the COVID-19 pandemic on our operational and financial performance will depend on a variety of factors, including the duration and spread of the virus, including new variants, and its impact on our publishers, ad buyers, industry, and employees, all of which are uncertain at this time and cannot be accurately predicted.</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“Risk Factors” for further discussion of the risks related to inflation, rising interest rates, foreign currency fluctuations and the COVID-19 pandemic on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financial highlights of our business: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4"/>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256,380</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148,748</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31,755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26,613</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96,250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50,349</w:t>
            </w:r>
          </w:p>
        </w:tc>
      </w:tr>
      <w:tr>
        <w:trPr>
          <w:trHeight w:val="24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r>
      <w:tr>
        <w:trPr>
          <w:trHeight w:val="27"/>
        </w:trPr>
        <w:tc>
          <w:tcPr>
            <w:tcW w:w="6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64" w:lineRule="exact"/>
        <w:rPr>
          <w:sz w:val="20"/>
          <w:szCs w:val="20"/>
          <w:color w:val="auto"/>
        </w:rPr>
      </w:pPr>
    </w:p>
    <w:p>
      <w:pPr>
        <w:ind w:left="660" w:hanging="328"/>
        <w:spacing w:after="0" w:line="293"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a definition of Adjusted EBITDA, an explanation of our management’s use of this measure, and a reconciliation of Adjusted EBITDA to net income, see “Non-GAAP Financial Measures” below.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growth and financial performance are dependent on many factors, including those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access to valuable ad impressions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18.5 trillion, 20.2 trillion, 23.9 trillion, 29.6 trillion, 32.6 trillion, 36.2 trillion, 42.1 trillion and 48.2 trillion, for each of the three months ended March 31, 2021, June 30, 2021, September 30, 2021 and December 31, 2021, March 31, 2022, June 30, 2022, September 30, 2022, and December 31, 2022, respectively.</w:t>
      </w: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Monetizing ad impressions for publishers and buyers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focus on monetizing digital impressions by coordinating daily over a hundred billion real-time auctions and nearly a trillion bids globally, using our specialized cloud software, machine learning algorithms, and scaled transaction infrastructure. Valuable ad impressions are transparent and data rich, viewable by humans, and verifiable. Each ad impression we auction consists of 493 independent data parameters, which can yield valuable insights if recorded and analyzed properly. This processing of voluminous data for each ad impression must occur in less than half a second as consumers expect a seamless digital ad experience. By deploying our specialized software and hardware and continuously optimizing our machine learning algorithms, we are able to derive superior outcomes by increasing advertiser ROI and publisher revenue, while increasing the cost efficiency of our platform and our customers’ businesses.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valuable ad impressions that we can profitably monetize at scale</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continuously review our available inventory from existing publishers across every format (mobile, desktop, digital video, OTT, CTV, and rich media). The factors we consider to determine which impressions we process include transparency, viewability, and whether or not the impression is human sourced. By consistently applying these criteria, we believe that the ad impressions we process will be valuable and marketable to advertisers. In addition, using a combination of proprietary analysis driven by machine learning algorithms that are continuously updated along with specialized third-party tools, we aim to exclude low value impressions from our platform and, in some cases, may suspend certain publishers, or particular publisher sites and apps, from using our platform if they do not meet our standards. Our confidence in our ability to achieve our quality goals is backed by a fraud-free guarantee to all of our buyers which we introduced in 2017. We believe that this rigorous commitment to quality helps us maintain our reputation as a leader in the programmatic advertising ecosystem. Our financial performance depends in part on how efficiently and effectively we can conduct these activities at scale.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revenue from publishers and advertising spend from buyers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up-sell additional products to publisher customers including our header bidding management, identity, and audience solutions. We automate workflow processes whenever feasible to drive predictable and value-added outcomes for our customers and increase productivity of our organization.</w:t>
      </w:r>
    </w:p>
    <w:p>
      <w:pPr>
        <w:spacing w:after="0" w:line="6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Net dollar-based retention rate is an important indicator of publisher satisfaction and usage of our platform, as well as potential revenue for future periods. We calculate our net dollar-based retention rate at the end of each year. We calculate our net dollar-based retention rate by starting with the revenue from publishers in the last prior year (“Prior Period Revenue”). We then calculate the revenue from these same publishers in the current year (“Current Period Revenue”). Current Period Revenue includes any upsells and is net of contraction or attrition, but excludes revenue from new publishers.</w:t>
      </w:r>
    </w:p>
    <w:p>
      <w:pPr>
        <w:spacing w:after="0" w:line="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net dollar-based retention rate equals the Current Period Revenue divided by Prior Period Revenue. Our net dollar-based retention rate was 108% for the year ended December 31, 2022, and 149% for the year ended December 31, 2021. Our growth in the period ended December 31, 2022 and 2021 was primarily attributable to an increase in the number of ad impressions processed from our publishers, upselling additional products, penetration of header bidding for mobile app and digital video, and increased demand from the growth of our buyer relationships primarily through SPO agreements.</w:t>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work with DSPs to help them reduce their costs and improve advertiser ROI, which in turn makes us the specialized cloud infrastructure platform of choice for many of our buying partners. As buyers increasingly consolidate their spending with fewer larger technology platforms, we seek to bring an increased proportion of their digital ad spending to our platform through direct deals. We have entered into SPO agreements directly with buyers, advertisers and agencies through various arrangements ranging from custom data and workflow integrations, product features, and volume-based business terms. The effect of these SPO agreements is to increase the volume of ad spend on our platform without corresponding increases in technology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industry dynamics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operate in the rapidly evolving digital advertising industry. Due to the scale and complexity of the digital advertising ecosystem, direct sales via manual, person-to-person processes are insufficient for delivering a real-time, personalized ad experience, creating the need for programmatic advertising. In turn, advances in programmatic technologies have enabled publishers to auction their ad inventory to more buyers, simultaneously, and in real time through a process referred to as header bidding. Header bidding has also provided advertisers with transparent access to ad impressions. As advertisers keep pace with ongoing changes in the way that consumers view and interact with digital media there will be further innovation and we anticipate that header bidding will be extended into new areas such as OTT/CTV. We believe our focus on publishers and buyers has allowed us to understand their needs and our ongoing innovation has enabled us to quickly adapt to changes in the industry, develop new solutions and do so cost effectively. Our performance depends on our ability to keep pace with industry changes such as header bidding and the evolving needs of our publishers and buyers while continuing our cost efficiency.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and managing investments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make software and hardware infrastructure investment decisions to meet expected increases in ad impressions on both a global and regional data center level throughout the calendar year based on the projected quantity, ad format type, and associated data requirements. In parallel, we seek to continuously improve our infrastructure utilization. Our ability to identify and monetize high value impressions allows us to operate more efficiently because the cost of processing low-value impressions and high-value impressions are approximately the same. We believe that increasing utilization of our platform leads to improved outcomes for our customers and more efficient and effective operations for us. To achieve improved utilization, we leverage the data on our platform through extensive application of artificial intelligence technologies, including machine learning and natural language processing. The magnitude and timing of our investments in our software and hardware may lead to fluctuations in our operating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plan to continue expanding our international presence and making additional investments in sales and marketing and infrastructure to support our long-term growth and to position ourselves for expected increases in the penetration of programmatic advertising globally. We expect programmatic advertising to grow at different rates in different geographic markets. Our publishers outside of the United States typically have smaller amounts of programmatic inventory, and as a result, our sales and marketing expenses associated with non-U.S. publishers are generally proportionally higher. We are constantly evaluating new markets with a strategy to use our existing infrastructure and adjacent sales offices, or by expanding our infrastructure footprint and placing personnel directly in those markets. Our ability to efficiently expand into new markets will affect our operating results.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Managing Seasonality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global advertising industry experiences seasonal trends that affect the vast majority of participants in the digital advertising ecosystem. Most notably, advertisers have historically spent relatively more in the fourth quarter of the calendar year to coincide with the holiday shopping season, and relatively less in the first quarter. We expect seasonality trends to continue, and our ability to manage our resources in anticipation of these trends will affect our operating results.</w:t>
      </w:r>
    </w:p>
    <w:p>
      <w:pPr>
        <w:spacing w:after="0" w:line="200" w:lineRule="exact"/>
        <w:rPr>
          <w:sz w:val="20"/>
          <w:szCs w:val="20"/>
          <w:color w:val="auto"/>
        </w:rPr>
      </w:pPr>
    </w:p>
    <w:p>
      <w:pPr>
        <w:spacing w:after="0" w:line="303"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generate revenue from publishers who use our platform. Our platform allows publishers to sell, in real time, customized ad inventory to buyers and provides automated inventory management and monetization tools to publishers across various device types and digital ad formats. We generate revenue primarily through fees charged to our publishers, which are generally a percentage of the value of the advertising impressions that publishers monetize on the platform. We report revenue on a net basis. This represents gross billings to buyers, net of amounts we pay publishers.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spacing w:after="0" w:line="87" w:lineRule="exact"/>
        <w:rPr>
          <w:sz w:val="20"/>
          <w:szCs w:val="20"/>
          <w:color w:val="auto"/>
        </w:rPr>
      </w:pPr>
    </w:p>
    <w:p>
      <w:pPr>
        <w:ind w:right="2700" w:firstLine="324"/>
        <w:spacing w:after="0" w:line="406" w:lineRule="auto"/>
        <w:rPr>
          <w:sz w:val="20"/>
          <w:szCs w:val="20"/>
          <w:color w:val="auto"/>
        </w:rPr>
      </w:pPr>
      <w:r>
        <w:rPr>
          <w:rFonts w:ascii="Arial" w:cs="Arial" w:eastAsia="Arial" w:hAnsi="Arial"/>
          <w:sz w:val="18"/>
          <w:szCs w:val="18"/>
          <w:color w:val="auto"/>
        </w:rPr>
        <w:t xml:space="preserve">Our revenue recognition policies are discussed in more detail under “Critical Accounting Policies and Estimates.” </w:t>
      </w:r>
      <w:r>
        <w:rPr>
          <w:rFonts w:ascii="Arial" w:cs="Arial" w:eastAsia="Arial" w:hAnsi="Arial"/>
          <w:sz w:val="18"/>
          <w:szCs w:val="18"/>
          <w:b w:val="1"/>
          <w:bCs w:val="1"/>
          <w:i w:val="1"/>
          <w:iCs w:val="1"/>
          <w:color w:val="auto"/>
        </w:rPr>
        <w:t>Cost of Revenue</w:t>
      </w:r>
    </w:p>
    <w:p>
      <w:pPr>
        <w:spacing w:after="0" w:line="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revenue consists of data center co-location costs, depreciation expense related to hardware supporting our platform, amortization expense related to capitalized internal 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 We expect cost of revenue to generally increase in absolute dollars in future periods.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Technology and Development. </w:t>
      </w:r>
      <w:r>
        <w:rPr>
          <w:rFonts w:ascii="Arial" w:cs="Arial" w:eastAsia="Arial" w:hAnsi="Arial"/>
          <w:sz w:val="17"/>
          <w:szCs w:val="17"/>
          <w:color w:val="auto"/>
        </w:rPr>
        <w:t>Technology and development expenses consist of personnel costs, including salaries, bonuses,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employee benefits costs, allocated facilities costs, and professional services. These expenses include costs incurred in the development, implementation and maintenance of internal use software, including platform and related infrastructure. We expense technology and development costs as incurred, except to the extent that such costs are associated with internal use software development that qualifies for capitalization. We expect technology and development expenses to generally increase in absolute dollars in future periods.</w:t>
      </w:r>
    </w:p>
    <w:p>
      <w:pPr>
        <w:spacing w:after="0" w:line="6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consist of personnel costs, including salaries, bonuses, stock-based compensation, and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consist of personnel costs, including salaries, bonuses,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invest in corporate infrastructure and incur additional expenses associated with our operation as a public company, including increased legal and accounting costs, increased investor relations costs, higher insurance premiums, and compliance costs associated with developing the requisite infrastructure required for internal controls. As a result, we continue to expect general and administrative expenses to increase in absolute dollars in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Total other income (expense), net consists of interest income, unrealized gain (loss) on equity investment and other income (expense), net. Interest income is generated by investing excess cash into money market accounts and marketable securities. Unrealized gain (loss) on equity investment consists of gains and losses on our investment in equity securities, including unrealized gains and losses from market price changes or impairment of securities we continue to hold. Other income (expense), net consists primarily of gains and losses from foreign currency exchange transactions.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investment gains and losses, whether realized from dispositions or unrealized from changes in market prices of equity securities, are generally meaningless in understanding our reported results or evaluating the economic performance of our businesses. These gains and losses have caused and will continue to cause significant volatility in our periodic earnings.</w:t>
      </w: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provision for income taxes consists primarily of federal, state, and foreign income taxes. Our income tax provision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effective tax rate differs from the U.S. federal statutory income tax rate due to state taxes, foreign tax rate differences, technology and development tax credits, Section 162(m) limitation, and stock-based compensation.</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to our results determined in accordance with U.S. generally accepted accounting principles (“GAAP”), including, in particular operating income, net cash provided by operating activities, and net income, we believe that Adjusted EBITDA, a non-GAAP measure, is useful in evaluating our operating performance. We define Adjusted EBITDA as net income adjusted for stock-based compensation expense, depreciation and amortization, unrealized (gain), loss and impairment of equity investment, interest income, acquisition-related and other expenses, and provision for income taxes.</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Adjusted EBITDA to net income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4"/>
        </w:trPr>
        <w:tc>
          <w:tcPr>
            <w:tcW w:w="6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
        </w:trPr>
        <w:tc>
          <w:tcPr>
            <w:tcW w:w="6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28,705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26,613</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Add back (deduct):</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34,249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15,743</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loss and impairment of equity investment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Acquisition-related and other expenses </w:t>
            </w:r>
            <w:r>
              <w:rPr>
                <w:rFonts w:ascii="Arial" w:cs="Arial" w:eastAsia="Arial" w:hAnsi="Arial"/>
                <w:sz w:val="28"/>
                <w:szCs w:val="28"/>
                <w:color w:val="auto"/>
                <w:vertAlign w:val="superscript"/>
              </w:rPr>
              <w:t>(1)</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97,978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64" w:lineRule="exact"/>
        <w:rPr>
          <w:sz w:val="20"/>
          <w:szCs w:val="20"/>
          <w:color w:val="auto"/>
        </w:rPr>
      </w:pPr>
    </w:p>
    <w:p>
      <w:pPr>
        <w:jc w:val="both"/>
        <w:ind w:left="660" w:hanging="328"/>
        <w:spacing w:after="0" w:line="284" w:lineRule="auto"/>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exclude acquisition-related and other expenses incurred in connection with our acquisition of Martin from Adjusted EBITDA because we do not believe such expenses are reflective of our ongoing core operations. Acquisition-related expenses incurred in connection with our acquisition of Martin include third-party transaction costs. Other expenses incurred in connection with our acquisition of Martin include post-acquisition cash compensation arrangements for certain key acquired employees to be paid ratably over three years following the closing of the acquisition (subject to forfeiture upon termination). For additional information, see Note 7, “Business Combination” to our consolidated financial statements included elsewhere in this Annual Report on Form 10-K.</w:t>
      </w:r>
    </w:p>
    <w:p>
      <w:pPr>
        <w:spacing w:after="0" w:line="5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operating income and net income, we use Adjusted EBITDA as a measure of operational efficiency. We believe that this non-GAAP financial measure is useful to investors for period to period comparisons of our business and in understanding and evaluating our operating results for the following reasons:</w:t>
      </w:r>
    </w:p>
    <w:p>
      <w:pPr>
        <w:spacing w:after="0" w:line="76" w:lineRule="exact"/>
        <w:rPr>
          <w:sz w:val="20"/>
          <w:szCs w:val="20"/>
          <w:color w:val="auto"/>
        </w:rPr>
      </w:pPr>
    </w:p>
    <w:p>
      <w:pPr>
        <w:jc w:val="both"/>
        <w:ind w:left="660" w:hanging="328"/>
        <w:spacing w:after="0" w:line="25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operating performance without regard to items such as stock-based compensation expense, depreciation and amortization, interest expense, provision for income taxes, and certain one-time items such as impairments of long-lived assets, that can vary substantially from company to company depending upon their financing, capital structures and the method by which assets were acquired;</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management uses Adjusted EBITDA in conjunction with GAAP financial measures for planning purposes, including the preparation of our annual operating budget, as a measure of operating performance and the effectiveness of our business strategies and in communications with our board of directors concerning our financial performance; and</w:t>
      </w:r>
    </w:p>
    <w:p>
      <w:pPr>
        <w:spacing w:after="0" w:line="200" w:lineRule="exact"/>
        <w:rPr>
          <w:sz w:val="20"/>
          <w:szCs w:val="20"/>
          <w:color w:val="auto"/>
        </w:rPr>
      </w:pPr>
    </w:p>
    <w:p>
      <w:pPr>
        <w:spacing w:after="0" w:line="30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provides consistency and comparability with our past financial performance, facilitates period-to-period comparisons of operations, and also facilitates comparisons with other peer companies, many of which use similar non-GAAP financial measures to supplement their GAAP results.</w:t>
      </w:r>
    </w:p>
    <w:p>
      <w:pPr>
        <w:spacing w:after="0" w:line="7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use of this non-GAAP financial measure has limitations as an analytical tool, and you should not consider it in isolation or as a substitute for analysis of our financial results as reported under GAAP. Some of these limitations are as follows:</w:t>
      </w:r>
    </w:p>
    <w:p>
      <w:pPr>
        <w:spacing w:after="0" w:line="62"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Adjusted EBITDA does not reflect: (a) changes in, or cash requirements for, our working capital needs; (b) the potentially dilutive impact of stock-based compensation; or (c) tax payments that may represent a reduction in cash available to us;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companies in our industry may calculate Adjusted EBITDA differently than we do, limiting its usefulness as a comparative measure.</w:t>
      </w:r>
    </w:p>
    <w:p>
      <w:pPr>
        <w:spacing w:after="0" w:line="1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Because of these and other limitations, you should consider Adjusted EBITDA along with other GAAP-based financial performance measures, including net income and our GAAP financial results.</w:t>
      </w: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tables set forth our consolidated results of operations data (in thousands) and such data as a percentage of revenue for the periods presented. The period-to-period comparison of results is not necessarily indicative of results for future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3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256,380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226,908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148,748</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81,512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58,313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41,186</w:t>
            </w:r>
          </w:p>
        </w:tc>
        <w:tc>
          <w:tcPr>
            <w:tcW w:w="0" w:type="dxa"/>
            <w:vAlign w:val="bottom"/>
          </w:tcPr>
          <w:p>
            <w:pPr>
              <w:spacing w:after="0"/>
              <w:rPr>
                <w:sz w:val="1"/>
                <w:szCs w:val="1"/>
                <w:color w:val="auto"/>
              </w:rPr>
            </w:pPr>
          </w:p>
        </w:tc>
      </w:tr>
      <w:tr>
        <w:trPr>
          <w:trHeight w:val="237"/>
        </w:trPr>
        <w:tc>
          <w:tcPr>
            <w:tcW w:w="6600" w:type="dxa"/>
            <w:vAlign w:val="bottom"/>
            <w:gridSpan w:val="2"/>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174,868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168,595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107,562</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00" w:type="dxa"/>
            <w:vAlign w:val="bottom"/>
            <w:gridSpan w:val="2"/>
          </w:tcPr>
          <w:p>
            <w:pPr>
              <w:ind w:left="240"/>
              <w:spacing w:after="0"/>
              <w:rPr>
                <w:sz w:val="20"/>
                <w:szCs w:val="20"/>
                <w:color w:val="auto"/>
              </w:rPr>
            </w:pPr>
            <w:r>
              <w:rPr>
                <w:rFonts w:ascii="Arial" w:cs="Arial" w:eastAsia="Arial" w:hAnsi="Arial"/>
                <w:sz w:val="18"/>
                <w:szCs w:val="18"/>
                <w:color w:val="auto"/>
              </w:rPr>
              <w:t>Technology and development</w:t>
            </w:r>
          </w:p>
        </w:tc>
        <w:tc>
          <w:tcPr>
            <w:tcW w:w="24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20,846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15,885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43,297</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44,940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35,761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134,348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109,806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75,807</w:t>
            </w:r>
          </w:p>
        </w:tc>
        <w:tc>
          <w:tcPr>
            <w:tcW w:w="0" w:type="dxa"/>
            <w:vAlign w:val="bottom"/>
          </w:tcPr>
          <w:p>
            <w:pPr>
              <w:spacing w:after="0"/>
              <w:rPr>
                <w:sz w:val="1"/>
                <w:szCs w:val="1"/>
                <w:color w:val="auto"/>
              </w:rPr>
            </w:pPr>
          </w:p>
        </w:tc>
      </w:tr>
      <w:tr>
        <w:trPr>
          <w:trHeight w:val="237"/>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40,520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58,789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31,755</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37,467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64,803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31,580</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8,762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64"/>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28,705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56,604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26,613</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63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600" w:type="dxa"/>
            <w:vAlign w:val="bottom"/>
            <w:gridSpan w:val="2"/>
          </w:tcPr>
          <w:p>
            <w:pPr>
              <w:ind w:left="340"/>
              <w:spacing w:after="0"/>
              <w:rPr>
                <w:sz w:val="20"/>
                <w:szCs w:val="20"/>
                <w:color w:val="auto"/>
              </w:rPr>
            </w:pPr>
            <w:r>
              <w:rPr>
                <w:rFonts w:ascii="Arial" w:cs="Arial" w:eastAsia="Arial" w:hAnsi="Arial"/>
                <w:sz w:val="16"/>
                <w:szCs w:val="16"/>
                <w:color w:val="auto"/>
              </w:rPr>
              <w:t>(1)  Amounts include stock-based compensation expense before tax benefit as follows: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1,135</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Technology and development</w:t>
            </w:r>
          </w:p>
        </w:tc>
        <w:tc>
          <w:tcPr>
            <w:tcW w:w="24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20,646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14,107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29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9"/>
              </w:rPr>
              <w:t>(as percentage of revenue)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6"/>
        </w:trPr>
        <w:tc>
          <w:tcPr>
            <w:tcW w:w="632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4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Cost of Revenue and Gross Profit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256,380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226,908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80" w:type="dxa"/>
            <w:vAlign w:val="bottom"/>
          </w:tcPr>
          <w:p>
            <w:pPr>
              <w:spacing w:after="0"/>
              <w:rPr>
                <w:sz w:val="21"/>
                <w:szCs w:val="21"/>
                <w:color w:val="auto"/>
              </w:rPr>
            </w:pPr>
          </w:p>
        </w:tc>
        <w:tc>
          <w:tcPr>
            <w:tcW w:w="1200" w:type="dxa"/>
            <w:vAlign w:val="bottom"/>
          </w:tcPr>
          <w:p>
            <w:pPr>
              <w:jc w:val="right"/>
              <w:ind w:right="138"/>
              <w:spacing w:after="0"/>
              <w:rPr>
                <w:sz w:val="20"/>
                <w:szCs w:val="20"/>
                <w:color w:val="auto"/>
              </w:rPr>
            </w:pPr>
            <w:r>
              <w:rPr>
                <w:rFonts w:ascii="Arial" w:cs="Arial" w:eastAsia="Arial" w:hAnsi="Arial"/>
                <w:sz w:val="18"/>
                <w:szCs w:val="18"/>
                <w:color w:val="auto"/>
              </w:rPr>
              <w:t>81,512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ind w:right="134"/>
              <w:spacing w:after="0"/>
              <w:rPr>
                <w:sz w:val="20"/>
                <w:szCs w:val="20"/>
                <w:color w:val="auto"/>
              </w:rPr>
            </w:pPr>
            <w:r>
              <w:rPr>
                <w:rFonts w:ascii="Arial" w:cs="Arial" w:eastAsia="Arial" w:hAnsi="Arial"/>
                <w:sz w:val="18"/>
                <w:szCs w:val="18"/>
                <w:color w:val="auto"/>
              </w:rPr>
              <w:t>58,313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23,199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174,868</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168,595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tcPr>
          <w:p>
            <w:pPr>
              <w:ind w:left="20"/>
              <w:spacing w:after="0"/>
              <w:rPr>
                <w:sz w:val="20"/>
                <w:szCs w:val="20"/>
                <w:color w:val="auto"/>
              </w:rPr>
            </w:pPr>
            <w:r>
              <w:rPr>
                <w:rFonts w:ascii="Arial" w:cs="Arial" w:eastAsia="Arial" w:hAnsi="Arial"/>
                <w:sz w:val="18"/>
                <w:szCs w:val="18"/>
                <w:color w:val="auto"/>
              </w:rPr>
              <w:t>Gross profit margin</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Revenue increased $29.5 million, or 13%, in 2022 driven by growth in impressions processed on our platform from both existing and new publishers. For the year ended 2022, we served approximately 1,650 publishers worldwide on our platform, compared to approximately 1,450 publishers worldwide for the year ended 2021, including approximately 200 net new publishers in 2022, which represented over 67,000 domains and 25,000 apps in total, compared to approximately 250 new publishers in 2021, which represented approximately 62,000 domains and 35,000 apps in total. For purposes of our publisher count, we aggregate multiple business accounts from separate divisions, segments or subsidiaries into a single “master” publisher based on our assessment of the related nature of the group. In addition, in 2022 we completed a number of SPO initiatives which increased buyer spend on our platform.</w:t>
      </w:r>
    </w:p>
    <w:p>
      <w:pPr>
        <w:spacing w:after="0" w:line="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revenue to continue to increase in 2023, with mobile and omnichannel video, which is the combination of short form video and OTT/CTV, as our primary growth drivers.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revenue increased $23.2 million, primarily due to a $7.4 million increase in depreciation of data center equipment, a $2.6 million increase in amortization of internal use software, a $7.1 million increase in data centers expansion and upgrades, a $1.6 million increase in personnel costs as headcount increased by 15% in order to support our growing business, a $3.4 million increase in IT support expenses, a $0.6 million increase in professional services to support growth, and a $0.5 million increase in amortization for acquisition-related intangible assets. Overall, our cost of revenue per impression processed in 2022 declined by 19% compared to 2021.</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gross margin of 68% in 2022 decreased compared to 2021 of 74% due to increases in depreciation and amortization expense from significant data center capacity expansion, as well as an increase in hosting expenses as a result of an increase in volume of impressions.</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expect the cost of revenue to be higher in 2023 compared to 2022 in absolute dollars primarily due to increases in depreciation and amortization expense from new data center capacity expansion in 2022, as well as increases in hosting expenses primarily driven by higher power pricing.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5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center"/>
              <w:ind w:left="481"/>
              <w:spacing w:after="0"/>
              <w:rPr>
                <w:sz w:val="20"/>
                <w:szCs w:val="20"/>
                <w:color w:val="auto"/>
              </w:rPr>
            </w:pPr>
            <w:r>
              <w:rPr>
                <w:rFonts w:ascii="Arial" w:cs="Arial" w:eastAsia="Arial" w:hAnsi="Arial"/>
                <w:sz w:val="14"/>
                <w:szCs w:val="14"/>
                <w:b w:val="1"/>
                <w:bCs w:val="1"/>
                <w:color w:val="auto"/>
                <w:w w:val="91"/>
              </w:rPr>
              <w:t>(dollars in thousands)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7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development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20,846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15,885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increase in technology and development costs was primarily due to an increase of $6.6 million in personnel costs associated with a headcount increase by 39% and higher stock-based compensation costs, an increase of $1.9 million in facilities costs associated with new offices, offset by a $4.2 million increase in the capitalization of internal use software.</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technology and development expenses to increase in 2023 compared to 2022 in absolute dollars, primarily due to the additional headcount investment in our key growth opportunities.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jc w:val="right"/>
              <w:ind w:right="556"/>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1"/>
              </w:rPr>
              <w:t>(dollars in thousands)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68,562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58,160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Sales and marketing costs increased primarily due to a $6.0 million increase in personnel costs associated with a headcount increase by 9% and higher stock-based compensation costs, a $0.7 million increase in travel and entertainment expenses, a $0.8 million increase in marketing expenses, and a $2.3 million increase in facilities costs associated with new offices.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sales and marketing expenses to increase in 2023 compared to 2022 in absolute dollars primarily due to additional headcount investment and marketing programs.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91"/>
              </w:rPr>
              <w:t>(dollars in thousands)</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44,940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35,761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Percent of revenue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General and administrative expense increased primarily due to a $5.4 million increase in personnel costs associated with a 13% increase in headcount and higher stock-based compensation costs, a $1.1 million increase in professional services, accounting and legal service costs, a $1.6 million increase in facilities costs associated with new offices, a $0.3 million increase in travel and entertainment, and a $0.4 million increase in property taxes.</w:t>
      </w:r>
    </w:p>
    <w:p>
      <w:pPr>
        <w:spacing w:after="0" w:line="4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general and administrative expenses to increase in 2023 compared to 2022 in absolute dollars primarily due to increases in expenses relating to our personnel.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9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0"/>
              </w:rPr>
              <w:t>(dollars in thousands)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other income (expense), net decreased for the year ended December 31, 2022, compared to the prior year period, primarily driven by impairment of our equity investment, partially offset by an increase in interest income due to raising interest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8,762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difference between the effective tax rate in 2022 of 23.4% and the federal statutory income tax rate of 21% was primarily due to state taxes, stock-based compensation, and Section 162(m) limitation partially offset by federal research and development credit, and a foreign derived intangible income deduction.</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difference between the effective tax rate in 2021 of 13% and the federal statutory income tax rate of 21% was primarily due deductible stock-based compensation, federal research and development credit, and a decrease in transfer pricing reserve due to expiration of statute of limitation, partially offset by Section 162(m) limitation and state taxes.</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For discussion on comparison of the fiscal years ended December 31, 2021 and December 31, 2020, please refer to Part II, Item 7, “Management's Discussion and Analysis of Financial Condition and Results of Operations” in our Annual Report on Form 10-K for the fiscal year ended December 31,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financed our operations and capital expenditures primarily through utilization of cash generated from operations, as well as a public offering of our common stock. As of December 31, 2022, we had cash, cash equivalents, and marketable securities of $174.4 million and net working capital, consisting of current assets less current liabilities, of $201.5 million. As of December 31, 2022, we had retained earnings of $128.0 million.</w:t>
      </w:r>
    </w:p>
    <w:p>
      <w:pPr>
        <w:spacing w:after="0" w:line="200" w:lineRule="exact"/>
        <w:rPr>
          <w:sz w:val="20"/>
          <w:szCs w:val="20"/>
          <w:color w:val="auto"/>
        </w:rPr>
      </w:pPr>
    </w:p>
    <w:p>
      <w:pPr>
        <w:spacing w:after="0" w:line="282"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believe our existing cash, cash equivalents, marketable securities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w:t>
      </w:r>
    </w:p>
    <w:p>
      <w:pPr>
        <w:spacing w:after="0" w:line="4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 We cannot guarantee that we will be able to raise additional capital in the future on favorable terms, or at all. Any inability to raise capital could adversely affect our ability to achieve our business objectives.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2011, we entered into a Loan and Security Agreement (as amended, the “Loan Agreement”), with Silicon Valley Bank (“SVB”), which was subsequently amended at various times to provide us with additional borrowing capacity and/or flexibility.</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December 31, 2021, the amount we had available to borrow under the Loan Agreement was the lesser of $25.0 million or 80% of eligible accounts receivable less certain reserves, minus the aggregate principal amount of all outstanding advances. Interest accrued on advances under the Loan Agreement at a variable rate equal to the greater of the prime rate or 3.25%. For any quarter where the average closing outstanding balance under the Loan Agreement was less than $5.0 million, a fee for such unused capacity in the amount of 0.40% per annum of the average unused portion was charged and payable in arrears. In June, 2021, we amended the Loan Agreement to extend its maturity date to June 6, 2024. As of December 31, 2021, there were no outstanding borrowings under the Loan Agreement. In connection with the entry into the Credit Agreement (as defined below), the Company’s existing Loan Agreement, as amended, was terminated. There were no outstanding advances under the Loan Agreement upon its termination.</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17, 2022, we entered into a Senior Secured Credit Facilities Credit Agreement (the “Credit Agreement”) with the several lenders parties thereto, and Silicon Valley Bank, as administrative agent, lead arranger, issuing lender, and swingline lender. The Credit Agreement provides a revolving credit facility in an aggregate principal amount of $110.0 million (“the Revolving Credit Facility”), including a $25.0 million letter of credit sub-facility and a $25.0 million swingline sub-facility. We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The obligations under the Credit Agreement are secured by substantially all of our assets. The Credit Agreement matures on October 17, 2027.</w:t>
      </w:r>
    </w:p>
    <w:p>
      <w:pPr>
        <w:spacing w:after="0" w:line="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Borrowings under the Revolving Credit Facility accrues interest at rates equal, at our election, to (i) the adjusted term secured overnight financing rate (“SOFR”), which is defined as (a) the applicable term SOFR plus (b) a term SOFR adjustment equal to 0.20% per annum,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We will pay a quarterly commitment fee during the term of the Credit Agreement for the non-use of available funds ranging from 0.25% to 0.35%. As of December 31, 2022, the applicable interest rate under the Revolving Credit Facility was 6.55%. We had no amounts outstanding under the Revolving Credit Facility as of December 31, 2022.</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see Note 5, “Loan and Security Agreement and Senior Secured Credit Facilities Agreement” to our consolidated financial statements included elsewhere in this Annual Report on Form 10-K.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4"/>
        </w:trPr>
        <w:tc>
          <w:tcPr>
            <w:tcW w:w="6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9"/>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87,212</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center"/>
              <w:ind w:left="414"/>
              <w:spacing w:after="0"/>
              <w:rPr>
                <w:sz w:val="20"/>
                <w:szCs w:val="20"/>
                <w:color w:val="auto"/>
              </w:rPr>
            </w:pPr>
            <w:r>
              <w:rPr>
                <w:rFonts w:ascii="Arial" w:cs="Arial" w:eastAsia="Arial" w:hAnsi="Arial"/>
                <w:sz w:val="18"/>
                <w:szCs w:val="18"/>
                <w:color w:val="auto"/>
                <w:w w:val="87"/>
              </w:rPr>
              <w:t>24,330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(96,723)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394"/>
              <w:spacing w:after="0"/>
              <w:rPr>
                <w:sz w:val="20"/>
                <w:szCs w:val="20"/>
                <w:color w:val="auto"/>
              </w:rPr>
            </w:pPr>
            <w:r>
              <w:rPr>
                <w:rFonts w:ascii="Arial" w:cs="Arial" w:eastAsia="Arial" w:hAnsi="Arial"/>
                <w:sz w:val="18"/>
                <w:szCs w:val="18"/>
                <w:color w:val="auto"/>
                <w:w w:val="92"/>
              </w:rPr>
              <w:t>(29,877)</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414"/>
              <w:spacing w:after="0"/>
              <w:rPr>
                <w:sz w:val="20"/>
                <w:szCs w:val="20"/>
                <w:color w:val="auto"/>
              </w:rPr>
            </w:pPr>
            <w:r>
              <w:rPr>
                <w:rFonts w:ascii="Arial" w:cs="Arial" w:eastAsia="Arial" w:hAnsi="Arial"/>
                <w:sz w:val="18"/>
                <w:szCs w:val="18"/>
                <w:color w:val="auto"/>
                <w:w w:val="87"/>
              </w:rPr>
              <w:t>52,485</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414"/>
              <w:spacing w:after="0"/>
              <w:rPr>
                <w:sz w:val="20"/>
                <w:szCs w:val="20"/>
                <w:color w:val="auto"/>
              </w:rPr>
            </w:pPr>
            <w:r>
              <w:rPr>
                <w:rFonts w:ascii="Arial" w:cs="Arial" w:eastAsia="Arial" w:hAnsi="Arial"/>
                <w:sz w:val="18"/>
                <w:szCs w:val="18"/>
                <w:color w:val="auto"/>
                <w:w w:val="87"/>
              </w:rPr>
              <w:t>46,938</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2022, net cash provided by operating activities of $87.2 million resulted primarily from net income of $28.7 million, adjustments for non-cash expenses of $59.0 million, including $34.2 million for depreciation and amortization, $20.6 million for stock-based compensation, and $7.2 million for deferred income taxes, and an increase in accounts receivable of $24.4 million, partially offset by an increase in accounts payable of $29.8 million.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2021, net cash provided by operating activities of $88.7 million resulted primarily from net income of $56.6 million, adjustments for non-cash expenses of $38.5 million, including $23.1 million for depreciation and amortization, $4.8 million for deferred income taxes and $14.1 million for stock-based compensation, and an increase in accounts receivable of $67.4 million, partially offset by an increase in accounts payable of $68.3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investing activities primarily included acquisition of Martin,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2022, we used $81.4 million of cash in investing activities, consisting of a net increase in investments of marketable securities of $4.4 million, $35.9 million in purchases of property and equipment (primarily data center infrastructure), $13.0 million of investments in capitalized internal use software, and $28.1 million for the Martin acquisition.</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2021, we used $96.7 million of cash in investing activities, consisting of a net increase in investments of marketable securities of $57.4 million, $30.4 million in purchases of property and equipment (primarily data center infrastructure), and $8.9 million of investments in capitalized internal use software.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year ended December 31, 2022, net cash provided by financing activities of $4.0 million was primarily due to $1.2 million proceeds from stock option exercises and $3.0 million proceeds from the employee stock purchase plan.</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2021, net cash provided by financing activities of $9.4 million was primarily due to $5.4 million in proceeds from stock option exercises and $4.8 million in proceeds from the employee stock purchase plan, partially offset by $0.8 million due to payments of issuance costs of Class A common stock in connection with our IPO.</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discussion on operating, investing, and financing activities of the fiscal year ended December 31, 2020, see the Liquidity and Capital Resources section disclosed in “Management’s Discussion and Analysis of Financial Condition and Results of Operations” of our Annual Report on Form 10-K, which was filed with the SEC on March 26, 2021 and hereby incorporated by reference herein and considered part of this Annual Report on Form 10-K only to the extent referenced.</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Future Cash Requirements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contractual obligations consist of non-cancelable leases for our various facilities. In certain cases, the terms of the lease agreements provide for rental payments that increase over time.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obligations, at December 31, 2022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9"/>
        </w:trPr>
        <w:tc>
          <w:tcPr>
            <w:tcW w:w="35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4"/>
        </w:trPr>
        <w:tc>
          <w:tcPr>
            <w:tcW w:w="3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54"/>
              <w:spacing w:after="0"/>
              <w:rPr>
                <w:sz w:val="20"/>
                <w:szCs w:val="20"/>
                <w:color w:val="auto"/>
              </w:rPr>
            </w:pPr>
            <w:r>
              <w:rPr>
                <w:rFonts w:ascii="Arial" w:cs="Arial" w:eastAsia="Arial" w:hAnsi="Arial"/>
                <w:sz w:val="14"/>
                <w:szCs w:val="14"/>
                <w:b w:val="1"/>
                <w:bCs w:val="1"/>
                <w:color w:val="auto"/>
                <w:w w:val="94"/>
              </w:rPr>
              <w:t>Less than 1 year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1 - 3 years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3 - 5 years</w:t>
            </w:r>
          </w:p>
        </w:tc>
        <w:tc>
          <w:tcPr>
            <w:tcW w:w="160" w:type="dxa"/>
            <w:vAlign w:val="bottom"/>
          </w:tcPr>
          <w:p>
            <w:pPr>
              <w:spacing w:after="0"/>
              <w:rPr>
                <w:sz w:val="16"/>
                <w:szCs w:val="16"/>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More than 5 years</w:t>
            </w:r>
          </w:p>
        </w:tc>
      </w:tr>
      <w:tr>
        <w:trPr>
          <w:trHeight w:val="39"/>
        </w:trPr>
        <w:tc>
          <w:tcPr>
            <w:tcW w:w="35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4"/>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contractual obligations</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28,651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7"/>
        </w:trPr>
        <w:tc>
          <w:tcPr>
            <w:tcW w:w="3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63"/>
        </w:trPr>
        <w:tc>
          <w:tcPr>
            <w:tcW w:w="3500" w:type="dxa"/>
            <w:vAlign w:val="bottom"/>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70,517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w:t>
            </w:r>
          </w:p>
        </w:tc>
      </w:tr>
      <w:tr>
        <w:trPr>
          <w:trHeight w:val="20"/>
        </w:trPr>
        <w:tc>
          <w:tcPr>
            <w:tcW w:w="3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6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Other contractual obligations consist primarily of contractual obligations to third-party data center providers.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2022, we had $4.3 million of long-term income tax liabilities, including interest, related to uncertain tax positions. Because of the high degree of uncertainty regarding the settlement of these liabilities, we are unable to estimate the years in which future cash outflows may occur. As a result, this amount is not included in the contractual obligations table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prepare our consolidated financial statements in accordance with GAAP. The preparation of the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consolidated financial statements. Therefore, we consider these to be our critical accounting policies and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refer to our publishers, app developers, and channel partners collectively as our publishers. 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maintain agreements with each publisher and buyer in the form of written service agreements, which set out the terms of the relationship, including payment terms (typically ninety days or less) and access to our platform.</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invoice buyers for publisher digital advertising inventory purchased through its platform. We recognize revenue when a bid is won and a buyer purchases inventory on our platform. We estimate and record reductions to revenue for volume discounts based on expected volumes during the incentive term</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 See “Part II - Item 8. Financial Statements and Supplementary Data - Note 2” for more information on revenue recognition.</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generally invoice buyers at the end of each month for the full purchase price of ad impressions monetized in that month. Accounts receivable are recorded at the amount of gross billings for the amounts we are responsible to collect, and accounts payable are recorded at the net amount payable to publishers. Accordingly, both accounts receivable and accounts payable appear large in relation to revenue reported on a net basis.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capitalize certain internal use software development costs associated with creating and enhancing internal use software related to our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We expense software development costs that do not meet the criteria for capitalization as incurred and record them in technology and development expenses in the consolidated statements of operations.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Software development activities generally consist of three stages: (i) the planning stage; (ii) the application and infrastructure development stage; and</w:t>
      </w:r>
    </w:p>
    <w:p>
      <w:pPr>
        <w:spacing w:after="0" w:line="46" w:lineRule="exact"/>
        <w:rPr>
          <w:sz w:val="20"/>
          <w:szCs w:val="20"/>
          <w:color w:val="auto"/>
        </w:rPr>
      </w:pPr>
    </w:p>
    <w:p>
      <w:pPr>
        <w:jc w:val="both"/>
        <w:ind w:firstLine="8"/>
        <w:spacing w:after="0" w:line="252" w:lineRule="auto"/>
        <w:tabs>
          <w:tab w:leader="none" w:pos="3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post implementation stage. Costs incurred in the planning and post implementation stages of software development, including costs associated with the post configuration training and repairs and maintenance of the developed technologies, are expensed as incurred. We capitalize costs associated with software developed for internal use when both the preliminary project stage is completed and management has authorized further funding for the completion of the project. We capitalize costs incurred in the application and infrastructure development stages, including significant enhancements and upgrades. Capitalization ends once a project is substantially complete and the software and technologies are ready for their intended purpose. We amortize internal use software development costs using a straight-line method over the estimated useful life of two to five years, commencing when the software is ready for its intended use.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expense related to stock options, restricted stock units, and awards granted under our employee stock purchase plan (“ESPP”) is measured and recognized in our consolidated financial statements based on the fair value of the awards granted. The fair values of our ESPP and stock option awards are estimated on the grant date using the Black-Scholes option-pricing model. The fair value of restricted stock is calculated using the closing market price of our common stock on the date of grant.</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Stock-based compensation expense related to stock options and restricted stock is recognized on a straight-line basis over the requisite service periods of the awards, which is generally four years. Stock-based compensation expense for ESPP awards is recognized on a graded-vesting attribution basis over the requisite service period of each award.</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additional information regarding stock-based compensation and the assumptions used for determining the fair value of stock options and ESPP awards, refer to Note 2—Basis of Presentation and Summary of Significant Accounting Policies and Note 10—Stockholders’ Equity and Equity Incentive Plans.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results of a business combination are included in the Company’s consolidated financial statements from the date of the acquisition. Purchase accounting results in assets and liabilities of an acquired business are generally recorded at their estimated fair values on the acquisition date, which may require management to use significant judgment and best estimates. This includes the selection of valuation methodologies, estimates of future revenue, costs and cash flows, discount rates, selection of comparable companies, and estimated useful lives of acquired intangible assets. The Company engages valuation specialists to assist in determining the fair values of these acquired assets and liabilities assumed. Any excess consideration over the fair value of these acquired assets and liabilities assumed is recognized as goodwill. Unanticipated events and circumstances may occur that may affect the accuracy or validity of such assumptions, estimates or actual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Intangible Assets and Goodwill</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Acquisition-related intangible assets with finite lives are amortized over their estimated useful lives on a straight-line basis, while goodwill amounts are not amortized. Acquisition-related intangible assets and goodwill are tested for impairment at least annually or more frequently if events or changes in circumstances indicate that the acquisition-related intangible assets or goodwill may be impaired.</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12529"/>
        </w:rPr>
        <w:t xml:space="preserve">Our income tax provision may be significantly affected by changes to our estimates for tax in jurisdictions in which we operate and </w:t>
      </w:r>
      <w:r>
        <w:rPr>
          <w:rFonts w:ascii="Arial" w:cs="Arial" w:eastAsia="Arial" w:hAnsi="Arial"/>
          <w:sz w:val="18"/>
          <w:szCs w:val="18"/>
          <w:color w:val="000000"/>
        </w:rPr>
        <w:t>other</w:t>
      </w:r>
      <w:r>
        <w:rPr>
          <w:rFonts w:ascii="Arial" w:cs="Arial" w:eastAsia="Arial" w:hAnsi="Arial"/>
          <w:sz w:val="18"/>
          <w:szCs w:val="18"/>
          <w:color w:val="212529"/>
        </w:rPr>
        <w:t xml:space="preserve"> estimates utilized in determining the global effective tax rate. Actual results may also differ from our estimate based on changes in economic conditions. Such changes could have a substantial impact on the income tax provision. We evaluate the judgments surrounding our estimates and make adjustments, as appropriate, each reporting period.</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12529"/>
        </w:rPr>
        <w:t xml:space="preserve">Deferred income tax assets and liabilities are determined based upon the net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A </w:t>
      </w:r>
      <w:r>
        <w:rPr>
          <w:rFonts w:ascii="Arial" w:cs="Arial" w:eastAsia="Arial" w:hAnsi="Arial"/>
          <w:sz w:val="17"/>
          <w:szCs w:val="17"/>
          <w:color w:val="000000"/>
        </w:rPr>
        <w:t>valuation</w:t>
      </w:r>
      <w:r>
        <w:rPr>
          <w:rFonts w:ascii="Arial" w:cs="Arial" w:eastAsia="Arial" w:hAnsi="Arial"/>
          <w:sz w:val="17"/>
          <w:szCs w:val="17"/>
          <w:color w:val="212529"/>
        </w:rPr>
        <w:t xml:space="preserve"> allowance is used to reduce some or all of the deferred tax assets if, based upon the weight of available evidence, it is more likely than not that those deferred tax assets will not be realized.</w:t>
      </w:r>
    </w:p>
    <w:p>
      <w:pPr>
        <w:spacing w:after="0" w:line="6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12529"/>
        </w:rPr>
        <w:t xml:space="preserve">We recognize the tax benefit from an uncertain tax position only if it is more likely than not that the tax position will be sustained </w:t>
      </w:r>
      <w:r>
        <w:rPr>
          <w:rFonts w:ascii="Arial" w:cs="Arial" w:eastAsia="Arial" w:hAnsi="Arial"/>
          <w:sz w:val="17"/>
          <w:szCs w:val="17"/>
          <w:color w:val="000000"/>
        </w:rPr>
        <w:t>on</w:t>
      </w:r>
      <w:r>
        <w:rPr>
          <w:rFonts w:ascii="Arial" w:cs="Arial" w:eastAsia="Arial" w:hAnsi="Arial"/>
          <w:sz w:val="17"/>
          <w:szCs w:val="17"/>
          <w:color w:val="212529"/>
        </w:rPr>
        <w:t xml:space="preserve">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our income tax provision in the accompanying consolidated statement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2 to our consolidated financial statements included in Part II, Item 8 of this Form 10-K, for recently issued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certain market risks in the ordinary course of our business. These risks primarily include: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had cash and cash equivalents of $92.4 million and marketable securities of $82.0 million as of December 31, 2022, which consisted of bank deposits, money market accounts, commercial paper, agency debt securities, U.S. Treasury and government debt securities. The primary objective of our investment activities is to preserve principal while maximizing income without significantly increasing risk. Because our cash, cash equivalents, and marketable securities have a relatively short maturity, our portfolio’s fair value is relatively insensitive to interest rate changes. Our line of credit is at variable interest rates. We had no amounts outstanding under our credit facility as of December 31, 2022.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Risk</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consolidated results of operations and cash flows are subject to fluctuations due to changes in foreign currency exchange rates. Historically, the majority of our revenue contracts have been denominated in U.S. Dollars. Our expenses are generally denominated in the currencies in which our operations are located, primarily the U.S. Dollar, Indian Rupee and British Pound. To date, we have not entered into any hedging arrangements with respect to foreign currency risk or other derivative instruments. In the event our foreign sales and expenses increase, our operating results may be more greatly affected by foreign currency exchange rate fluctuations, which can affect our operating income. A hypothetical 10% change in the U.S. Dollar to India Rupee exchange rate could result in a change of $1.6 million and $1.2 million in our operating income for the year ended December 31, 2022 and December 31, 2021, respectively. A hypothetical 10% change in the U.S. Dollar to British Pound exchange rate could result in a change of $1.4 million and $1.4 million in our operating income for the year ended December 31, 2022 and December 31,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do not believe that inflation has had a material effect on our business, results of operations, or financial condition. If our costs were to become subject to significant inflationary pressures, for example in India or increases in data center base costs, we might not be able to fully offset such higher costs through price increases. Our inability or failure to do so could adversely affect our business, results of operations, and financial condition.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PUBMATIC, INC. AND SUBSIDIARIES</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060" w:type="dxa"/>
            <w:vAlign w:val="bottom"/>
            <w:gridSpan w:val="3"/>
          </w:tcPr>
          <w:p>
            <w:pPr>
              <w:jc w:val="center"/>
              <w:ind w:left="1952"/>
              <w:spacing w:after="0"/>
              <w:rPr>
                <w:sz w:val="20"/>
                <w:szCs w:val="20"/>
                <w:color w:val="auto"/>
              </w:rPr>
            </w:pPr>
            <w:r>
              <w:rPr>
                <w:rFonts w:ascii="Arial" w:cs="Arial" w:eastAsia="Arial" w:hAnsi="Arial"/>
                <w:sz w:val="14"/>
                <w:szCs w:val="14"/>
                <w:b w:val="1"/>
                <w:bCs w:val="1"/>
                <w:color w:val="auto"/>
                <w:w w:val="89"/>
              </w:rPr>
              <w:t>Page</w:t>
            </w:r>
          </w:p>
        </w:tc>
      </w:tr>
      <w:tr>
        <w:trPr>
          <w:trHeight w:val="242"/>
        </w:trPr>
        <w:tc>
          <w:tcPr>
            <w:tcW w:w="20" w:type="dxa"/>
            <w:vAlign w:val="bottom"/>
          </w:tcPr>
          <w:p>
            <w:pPr>
              <w:spacing w:after="0"/>
              <w:rPr>
                <w:sz w:val="21"/>
                <w:szCs w:val="21"/>
                <w:color w:val="auto"/>
              </w:rPr>
            </w:pPr>
          </w:p>
        </w:tc>
        <w:tc>
          <w:tcPr>
            <w:tcW w:w="816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2640" w:type="dxa"/>
            <w:vAlign w:val="bottom"/>
            <w:gridSpan w:val="2"/>
          </w:tcPr>
          <w:p>
            <w:pPr>
              <w:jc w:val="center"/>
              <w:ind w:left="2372"/>
              <w:spacing w:after="0"/>
              <w:rPr>
                <w:sz w:val="20"/>
                <w:szCs w:val="20"/>
                <w:color w:val="auto"/>
              </w:rPr>
            </w:pPr>
            <w:r>
              <w:rPr>
                <w:rFonts w:ascii="Arial" w:cs="Arial" w:eastAsia="Arial" w:hAnsi="Arial"/>
                <w:sz w:val="18"/>
                <w:szCs w:val="18"/>
                <w:color w:val="0000FF"/>
                <w:w w:val="89"/>
              </w:rPr>
              <w:t>61</w:t>
            </w:r>
          </w:p>
        </w:tc>
        <w:tc>
          <w:tcPr>
            <w:tcW w:w="4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0"/>
                <w:szCs w:val="20"/>
                <w:color w:val="auto"/>
              </w:rPr>
            </w:pPr>
            <w:r>
              <w:rPr>
                <w:rFonts w:ascii="Arial" w:cs="Arial" w:eastAsia="Arial" w:hAnsi="Arial"/>
                <w:sz w:val="18"/>
                <w:szCs w:val="18"/>
                <w:color w:val="0000FF"/>
                <w:w w:val="88"/>
              </w:rPr>
              <w:t>Consolidated Balance Sheets</w:t>
            </w:r>
          </w:p>
        </w:tc>
        <w:tc>
          <w:tcPr>
            <w:tcW w:w="2120" w:type="dxa"/>
            <w:vAlign w:val="bottom"/>
            <w:gridSpan w:val="6"/>
          </w:tcPr>
          <w:p>
            <w:pPr>
              <w:spacing w:after="0"/>
              <w:rPr>
                <w:sz w:val="21"/>
                <w:szCs w:val="21"/>
                <w:color w:val="auto"/>
              </w:rPr>
            </w:pPr>
          </w:p>
        </w:tc>
        <w:tc>
          <w:tcPr>
            <w:tcW w:w="3940" w:type="dxa"/>
            <w:vAlign w:val="bottom"/>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Arial" w:cs="Arial" w:eastAsia="Arial" w:hAnsi="Arial"/>
                <w:sz w:val="18"/>
                <w:szCs w:val="18"/>
                <w:color w:val="0000FF"/>
                <w:w w:val="89"/>
              </w:rPr>
              <w:t>64</w:t>
            </w:r>
          </w:p>
        </w:tc>
        <w:tc>
          <w:tcPr>
            <w:tcW w:w="4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0000FF"/>
                <w:w w:val="89"/>
              </w:rPr>
              <w:t>Consolidated Statements of Operations</w:t>
            </w:r>
          </w:p>
        </w:tc>
        <w:tc>
          <w:tcPr>
            <w:tcW w:w="5340" w:type="dxa"/>
            <w:vAlign w:val="bottom"/>
            <w:gridSpan w:val="6"/>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Arial" w:cs="Arial" w:eastAsia="Arial" w:hAnsi="Arial"/>
                <w:sz w:val="18"/>
                <w:szCs w:val="18"/>
                <w:color w:val="0000FF"/>
                <w:w w:val="89"/>
              </w:rPr>
              <w:t>65</w:t>
            </w:r>
          </w:p>
        </w:tc>
        <w:tc>
          <w:tcPr>
            <w:tcW w:w="4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w:t>
            </w:r>
          </w:p>
        </w:tc>
        <w:tc>
          <w:tcPr>
            <w:tcW w:w="2640" w:type="dxa"/>
            <w:vAlign w:val="bottom"/>
            <w:gridSpan w:val="2"/>
          </w:tcPr>
          <w:p>
            <w:pPr>
              <w:jc w:val="center"/>
              <w:ind w:left="2372"/>
              <w:spacing w:after="0"/>
              <w:rPr>
                <w:sz w:val="20"/>
                <w:szCs w:val="20"/>
                <w:color w:val="auto"/>
              </w:rPr>
            </w:pPr>
            <w:r>
              <w:rPr>
                <w:rFonts w:ascii="Arial" w:cs="Arial" w:eastAsia="Arial" w:hAnsi="Arial"/>
                <w:sz w:val="18"/>
                <w:szCs w:val="18"/>
                <w:color w:val="0000FF"/>
                <w:w w:val="89"/>
              </w:rPr>
              <w:t>66</w:t>
            </w:r>
          </w:p>
        </w:tc>
        <w:tc>
          <w:tcPr>
            <w:tcW w:w="4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Arial" w:cs="Arial" w:eastAsia="Arial" w:hAnsi="Arial"/>
                <w:sz w:val="18"/>
                <w:szCs w:val="18"/>
                <w:color w:val="0000FF"/>
                <w:w w:val="90"/>
              </w:rPr>
              <w:t>Consolidated Statements of Stockholders’ Equity</w:t>
            </w:r>
          </w:p>
        </w:tc>
        <w:tc>
          <w:tcPr>
            <w:tcW w:w="180" w:type="dxa"/>
            <w:vAlign w:val="bottom"/>
          </w:tcPr>
          <w:p>
            <w:pPr>
              <w:spacing w:after="0"/>
              <w:rPr>
                <w:sz w:val="21"/>
                <w:szCs w:val="21"/>
                <w:color w:val="auto"/>
              </w:rPr>
            </w:pPr>
          </w:p>
        </w:tc>
        <w:tc>
          <w:tcPr>
            <w:tcW w:w="4420" w:type="dxa"/>
            <w:vAlign w:val="bottom"/>
            <w:gridSpan w:val="2"/>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Arial" w:cs="Arial" w:eastAsia="Arial" w:hAnsi="Arial"/>
                <w:sz w:val="18"/>
                <w:szCs w:val="18"/>
                <w:color w:val="0000FF"/>
                <w:w w:val="89"/>
              </w:rPr>
              <w:t>67</w:t>
            </w:r>
          </w:p>
        </w:tc>
        <w:tc>
          <w:tcPr>
            <w:tcW w:w="4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0000FF"/>
                <w:w w:val="89"/>
              </w:rPr>
              <w:t>Consolidated Statements of Cash Flows</w:t>
            </w:r>
          </w:p>
        </w:tc>
        <w:tc>
          <w:tcPr>
            <w:tcW w:w="680" w:type="dxa"/>
            <w:vAlign w:val="bottom"/>
            <w:gridSpan w:val="2"/>
          </w:tcPr>
          <w:p>
            <w:pPr>
              <w:spacing w:after="0"/>
              <w:rPr>
                <w:sz w:val="21"/>
                <w:szCs w:val="21"/>
                <w:color w:val="auto"/>
              </w:rPr>
            </w:pPr>
          </w:p>
        </w:tc>
        <w:tc>
          <w:tcPr>
            <w:tcW w:w="4600" w:type="dxa"/>
            <w:vAlign w:val="bottom"/>
            <w:gridSpan w:val="3"/>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Arial" w:cs="Arial" w:eastAsia="Arial" w:hAnsi="Arial"/>
                <w:sz w:val="18"/>
                <w:szCs w:val="18"/>
                <w:color w:val="0000FF"/>
                <w:w w:val="89"/>
              </w:rPr>
              <w:t>68</w:t>
            </w:r>
          </w:p>
        </w:tc>
        <w:tc>
          <w:tcPr>
            <w:tcW w:w="4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000" w:type="dxa"/>
            <w:vAlign w:val="bottom"/>
            <w:gridSpan w:val="4"/>
          </w:tcPr>
          <w:p>
            <w:pPr>
              <w:spacing w:after="0"/>
              <w:rPr>
                <w:sz w:val="21"/>
                <w:szCs w:val="21"/>
                <w:color w:val="auto"/>
              </w:rPr>
            </w:pPr>
          </w:p>
        </w:tc>
        <w:tc>
          <w:tcPr>
            <w:tcW w:w="2640" w:type="dxa"/>
            <w:vAlign w:val="bottom"/>
            <w:gridSpan w:val="2"/>
          </w:tcPr>
          <w:p>
            <w:pPr>
              <w:jc w:val="center"/>
              <w:ind w:left="2372"/>
              <w:spacing w:after="0"/>
              <w:rPr>
                <w:sz w:val="20"/>
                <w:szCs w:val="20"/>
                <w:color w:val="auto"/>
              </w:rPr>
            </w:pPr>
            <w:r>
              <w:rPr>
                <w:rFonts w:ascii="Arial" w:cs="Arial" w:eastAsia="Arial" w:hAnsi="Arial"/>
                <w:sz w:val="18"/>
                <w:szCs w:val="18"/>
                <w:color w:val="0000FF"/>
                <w:w w:val="89"/>
              </w:rPr>
              <w:t>69</w:t>
            </w:r>
          </w:p>
        </w:tc>
        <w:tc>
          <w:tcPr>
            <w:tcW w:w="420" w:type="dxa"/>
            <w:vAlign w:val="bottom"/>
          </w:tcPr>
          <w:p>
            <w:pPr>
              <w:spacing w:after="0"/>
              <w:rPr>
                <w:sz w:val="21"/>
                <w:szCs w:val="21"/>
                <w:color w:val="auto"/>
              </w:rPr>
            </w:pPr>
          </w:p>
        </w:tc>
      </w:tr>
      <w:tr>
        <w:trPr>
          <w:trHeight w:val="952"/>
        </w:trPr>
        <w:tc>
          <w:tcPr>
            <w:tcW w:w="20" w:type="dxa"/>
            <w:vAlign w:val="bottom"/>
          </w:tcPr>
          <w:p>
            <w:pPr>
              <w:spacing w:after="0"/>
              <w:rPr>
                <w:sz w:val="24"/>
                <w:szCs w:val="24"/>
                <w:color w:val="auto"/>
              </w:rPr>
            </w:pPr>
          </w:p>
        </w:tc>
        <w:tc>
          <w:tcPr>
            <w:tcW w:w="3160" w:type="dxa"/>
            <w:vAlign w:val="bottom"/>
            <w:tcBorders>
              <w:top w:val="single" w:sz="8" w:color="0000FF"/>
            </w:tcBorders>
            <w:gridSpan w:val="4"/>
          </w:tcPr>
          <w:p>
            <w:pPr>
              <w:spacing w:after="0"/>
              <w:rPr>
                <w:sz w:val="24"/>
                <w:szCs w:val="24"/>
                <w:color w:val="auto"/>
              </w:rPr>
            </w:pPr>
          </w:p>
        </w:tc>
        <w:tc>
          <w:tcPr>
            <w:tcW w:w="5000" w:type="dxa"/>
            <w:vAlign w:val="bottom"/>
            <w:gridSpan w:val="4"/>
          </w:tcPr>
          <w:p>
            <w:pPr>
              <w:jc w:val="right"/>
              <w:ind w:right="2460"/>
              <w:spacing w:after="0"/>
              <w:rPr>
                <w:sz w:val="20"/>
                <w:szCs w:val="20"/>
                <w:color w:val="auto"/>
              </w:rPr>
            </w:pPr>
            <w:r>
              <w:rPr>
                <w:rFonts w:ascii="Arial" w:cs="Arial" w:eastAsia="Arial" w:hAnsi="Arial"/>
                <w:sz w:val="18"/>
                <w:szCs w:val="18"/>
                <w:color w:val="auto"/>
              </w:rPr>
              <w:t>60</w:t>
            </w:r>
          </w:p>
        </w:tc>
        <w:tc>
          <w:tcPr>
            <w:tcW w:w="2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PubMatic,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PubMatic, Inc. and subsidiaries (the "Company") as of December 31, 2022 and 2021, the related consolidated statements of operations, comprehensive income, stockholders' equity, and cash flows, for each of the three years in the period ended December 31, 2022, and the related notes (collectively referred to as the "financial statements"). We have also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Refer to Note 2 to the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generates revenue through the monetization of publisher ad impressions on its platform. The Company charges publishers a fee, which is typically a percentage of the value of the ad impressions monetized through the platform. The Company recognizes revenue when a bid is won and a buyer purchases digital advertising inventory on its platform. The Company reports revenue net of payments to publishers. For the year ended December 31, 2022, the Company’s revenue was $256.4 million.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identified revenue as a critical audit matter because there is a significant audit effort required in performing our audit procedures, which include evaluating and testing the Company’s process, systems, and controls related to the revenue cycle.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revenue included the following, among others:</w:t>
      </w:r>
    </w:p>
    <w:p>
      <w:pPr>
        <w:spacing w:after="0" w:line="117" w:lineRule="exact"/>
        <w:rPr>
          <w:sz w:val="20"/>
          <w:szCs w:val="20"/>
          <w:color w:val="auto"/>
        </w:rPr>
      </w:pPr>
    </w:p>
    <w:p>
      <w:pPr>
        <w:jc w:val="both"/>
        <w:ind w:left="66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tested the effectiveness of controls related to the revenue cycle, including (i) general information technology (IT) controls over relevant systems used to process and record advertising transactions, including testing of user access controls, change management controls, and IT operations controls and (ii) controls in place to reconcile the various systems to the Company’s general ledger and to address the accuracy and completeness of data used to recognize revenue.</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generated synthetic transactions on a customer’s website and traced the recording of these transactions into the Company’s systems to understand how revenue transactions are captured, processed, and aggregated.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used data analytics to inspect journal entries and identify relationships in the revenue population to (i) identify significant relationships in the revenue population and (ii) understand significant relationships and related accounts affecting revenue.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performed audit procedures on those related accounts determined to have a significant relationship with revenue, including sending confirmations to customers for a selection of accounts which included the receivable balances and related impression count for each selection, and selecting a sample of publisher payables and performing subsequent disbursements testing.</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performed a proof of cash reconciliation that reconciled cash to revenue and related revenue accounts.</w:t>
      </w:r>
    </w:p>
    <w:p>
      <w:pPr>
        <w:spacing w:after="0" w:line="113" w:lineRule="exact"/>
        <w:rPr>
          <w:sz w:val="20"/>
          <w:szCs w:val="20"/>
          <w:color w:val="auto"/>
        </w:rPr>
      </w:pPr>
    </w:p>
    <w:p>
      <w:pPr>
        <w:ind w:right="4740"/>
        <w:spacing w:after="0" w:line="378" w:lineRule="auto"/>
        <w:rPr>
          <w:sz w:val="20"/>
          <w:szCs w:val="20"/>
          <w:color w:val="auto"/>
        </w:rPr>
      </w:pPr>
      <w:r>
        <w:rPr>
          <w:rFonts w:ascii="Arial" w:cs="Arial" w:eastAsia="Arial" w:hAnsi="Arial"/>
          <w:sz w:val="18"/>
          <w:szCs w:val="18"/>
          <w:b w:val="1"/>
          <w:bCs w:val="1"/>
          <w:color w:val="auto"/>
        </w:rPr>
        <w:t xml:space="preserve">Developed Technology Intangible Asset — Refer to Note 7 to the financial statements </w:t>
      </w:r>
      <w:r>
        <w:rPr>
          <w:rFonts w:ascii="Arial" w:cs="Arial" w:eastAsia="Arial" w:hAnsi="Arial"/>
          <w:sz w:val="18"/>
          <w:szCs w:val="18"/>
          <w:i w:val="1"/>
          <w:iCs w:val="1"/>
          <w:color w:val="auto"/>
        </w:rPr>
        <w:t>Critical Audit Matter Description</w:t>
      </w:r>
    </w:p>
    <w:p>
      <w:pPr>
        <w:jc w:val="both"/>
        <w:spacing w:after="0" w:line="254" w:lineRule="auto"/>
        <w:rPr>
          <w:sz w:val="20"/>
          <w:szCs w:val="20"/>
          <w:color w:val="auto"/>
        </w:rPr>
      </w:pPr>
      <w:r>
        <w:rPr>
          <w:rFonts w:ascii="Arial" w:cs="Arial" w:eastAsia="Arial" w:hAnsi="Arial"/>
          <w:sz w:val="18"/>
          <w:szCs w:val="18"/>
          <w:color w:val="auto"/>
        </w:rPr>
        <w:t>On September 16, 2022, PubMatic, Inc. acquired all outstanding common stock of ConsultMates, Inc. (dba “Martin”), a media measurement and reporting platform, for a purchase price of $30.8 million. The Company accounted for the acquisition using the acquisition method of accounting for business combinations and the fair value of the total purchase price of $30.8 million was allocated to the assets acquired and liabilities assumed based on their respective fair values, including the developed technology intangible asset of $7.9 million. Management estimated the fair value of the developed technology intangible asset using the excess earnings method, which included an analysis of future cash flows expected to be generated by the intangible asset. The fair value determination of this intangible asset required management to make significant, subjective estimates and assumptions related to forecasted future cash flows.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identified the developed technology intangible asset as a critical audit matter because of the significant estimates and assumptions management makes to determine the fair value of this intangible asset. This required a high degree of auditor judgment and an increased extent of effort when performing audit procedures, including the need to involve our fair value specialists.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developed technology intangible asset included the following, among others:</w:t>
      </w:r>
    </w:p>
    <w:p>
      <w:pPr>
        <w:spacing w:after="0" w:line="117" w:lineRule="exact"/>
        <w:rPr>
          <w:sz w:val="20"/>
          <w:szCs w:val="20"/>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tested the effectiveness of controls over the business combination, including management’s control over the valuation methodology for the developed technology fair value estimate.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performed sensitivity analyses to evaluate the changes in the fair value of the developed technology intangible asset that would result from changes in the assumptions and compared the more sensitive significant assumptions used by management to current industry and competitor data and the Company’s own historical results.</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assessed the reasonableness of management’s forecasts of future cash flows by comparing the revenue and disaggregated cost projections to historical results, certain peer companies, third-party industry forecasts, as well as performing inquiries with certain members of management. Additionally, we inspected the relevant source data and publicly available information for any evidence that might contradict management’s assertions.</w:t>
      </w:r>
    </w:p>
    <w:p>
      <w:pPr>
        <w:spacing w:after="0" w:line="7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involved our fair value specialists to assist in our testing of the methodology used by the Company and the valuation assumptions underlying the fair value estimate.</w:t>
      </w:r>
    </w:p>
    <w:p>
      <w:pPr>
        <w:spacing w:after="0" w:line="6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recalculated the estimate of the fair value of the developed technology intangible asset acquired using the Company’s forecasted cash flows and valuation assumptions independently corroborated by our fair value specialists and compared the result to the Company’s fair value estimate.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CONSOLIDATED BALANCE SHEETS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par values and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December 31, 2021</w:t>
            </w:r>
          </w:p>
        </w:tc>
      </w:tr>
      <w:tr>
        <w:trPr>
          <w:trHeight w:val="39"/>
        </w:trPr>
        <w:tc>
          <w:tcPr>
            <w:tcW w:w="8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82,505</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82,013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77,121</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314,299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286,916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14,207</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460,749</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Property, equipment and software,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71,156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50,140</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21,613</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Acquisition-related intangible assets, net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10,948</w:t>
            </w:r>
          </w:p>
        </w:tc>
      </w:tr>
      <w:tr>
        <w:trPr>
          <w:trHeight w:val="263"/>
        </w:trPr>
        <w:tc>
          <w:tcPr>
            <w:tcW w:w="8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642,175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550,215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244,321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18,780</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r>
      <w:tr>
        <w:trPr>
          <w:trHeight w:val="237"/>
        </w:trPr>
        <w:tc>
          <w:tcPr>
            <w:tcW w:w="81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302,026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266,965</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17,842</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6,067</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 non-current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329,987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293,035</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Preferred stock, $0.0001 par value per share, 10,000,000 shares authorized as of December 31, 2022 and 2021;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 shares issued and outstanding as of December 31, 2022 and 2021</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w w:val="90"/>
              </w:rPr>
              <w:t>Common stock, par value $0.0001 per share; 1,000,000,000 Class A shares authorized as of December 31, 2022</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8180" w:type="dxa"/>
            <w:vAlign w:val="bottom"/>
          </w:tcPr>
          <w:p>
            <w:pPr>
              <w:ind w:left="20"/>
              <w:spacing w:after="0"/>
              <w:rPr>
                <w:sz w:val="20"/>
                <w:szCs w:val="20"/>
                <w:color w:val="auto"/>
              </w:rPr>
            </w:pPr>
            <w:r>
              <w:rPr>
                <w:rFonts w:ascii="Arial" w:cs="Arial" w:eastAsia="Arial" w:hAnsi="Arial"/>
                <w:sz w:val="18"/>
                <w:szCs w:val="18"/>
                <w:color w:val="auto"/>
                <w:w w:val="96"/>
              </w:rPr>
              <w:t>and 2021; 43,452,302 and 40,695,140 shares issued and outstanding as of December 31, 2022 and 2021,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Arial" w:cs="Arial" w:eastAsia="Arial" w:hAnsi="Arial"/>
                <w:sz w:val="18"/>
                <w:szCs w:val="18"/>
                <w:color w:val="auto"/>
                <w:w w:val="92"/>
              </w:rPr>
              <w:t>respectively; 1,000,000,000 Class B shares authorized as of December 31, 2022 and 2021; 12,393,322 shares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8180" w:type="dxa"/>
            <w:vAlign w:val="bottom"/>
          </w:tcPr>
          <w:p>
            <w:pPr>
              <w:ind w:left="20"/>
              <w:spacing w:after="0"/>
              <w:rPr>
                <w:sz w:val="20"/>
                <w:szCs w:val="20"/>
                <w:color w:val="auto"/>
              </w:rPr>
            </w:pPr>
            <w:r>
              <w:rPr>
                <w:rFonts w:ascii="Arial" w:cs="Arial" w:eastAsia="Arial" w:hAnsi="Arial"/>
                <w:sz w:val="18"/>
                <w:szCs w:val="18"/>
                <w:color w:val="auto"/>
                <w:w w:val="88"/>
              </w:rPr>
              <w:t>issued and 9,252,885 shares outstanding as of December 31, 2022, and 11,159,609 shares issued and outstanding</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as of December 31, 2021</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Treasury stock, at cost; 3,140,437 shares as of December 31, 2022 and 2021</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195,677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169,401</w:t>
            </w:r>
          </w:p>
        </w:tc>
      </w:tr>
      <w:tr>
        <w:trPr>
          <w:trHeight w:val="27"/>
        </w:trPr>
        <w:tc>
          <w:tcPr>
            <w:tcW w:w="8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99,295</w:t>
            </w:r>
          </w:p>
        </w:tc>
      </w:tr>
      <w:tr>
        <w:trPr>
          <w:trHeight w:val="27"/>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257,180</w:t>
            </w:r>
          </w:p>
        </w:tc>
      </w:tr>
      <w:tr>
        <w:trPr>
          <w:trHeight w:val="264"/>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642,175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550,215</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233"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5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5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256,380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148,748</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81,512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41,186</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107,562</w:t>
            </w:r>
          </w:p>
        </w:tc>
        <w:tc>
          <w:tcPr>
            <w:tcW w:w="0" w:type="dxa"/>
            <w:vAlign w:val="bottom"/>
          </w:tcPr>
          <w:p>
            <w:pPr>
              <w:spacing w:after="0"/>
              <w:rPr>
                <w:sz w:val="1"/>
                <w:szCs w:val="1"/>
                <w:color w:val="auto"/>
              </w:rPr>
            </w:pP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0" w:type="dxa"/>
            <w:vAlign w:val="bottom"/>
          </w:tcPr>
          <w:p>
            <w:pPr>
              <w:spacing w:after="0"/>
              <w:rPr>
                <w:sz w:val="1"/>
                <w:szCs w:val="1"/>
                <w:color w:val="auto"/>
              </w:rPr>
            </w:pPr>
          </w:p>
        </w:tc>
      </w:tr>
      <w:tr>
        <w:trPr>
          <w:trHeight w:val="243"/>
        </w:trPr>
        <w:tc>
          <w:tcPr>
            <w:tcW w:w="6560" w:type="dxa"/>
            <w:vAlign w:val="bottom"/>
          </w:tcPr>
          <w:p>
            <w:pPr>
              <w:ind w:left="2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43,297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109,806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75,807</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31,755</w:t>
            </w:r>
          </w:p>
        </w:tc>
        <w:tc>
          <w:tcPr>
            <w:tcW w:w="0" w:type="dxa"/>
            <w:vAlign w:val="bottom"/>
          </w:tcPr>
          <w:p>
            <w:pPr>
              <w:spacing w:after="0"/>
              <w:rPr>
                <w:sz w:val="1"/>
                <w:szCs w:val="1"/>
                <w:color w:val="auto"/>
              </w:rPr>
            </w:pPr>
          </w:p>
        </w:tc>
      </w:tr>
      <w:tr>
        <w:trPr>
          <w:trHeight w:val="243"/>
        </w:trPr>
        <w:tc>
          <w:tcPr>
            <w:tcW w:w="65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(loss) on equity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6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7"/>
        </w:trPr>
        <w:tc>
          <w:tcPr>
            <w:tcW w:w="65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31,580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63"/>
        </w:trPr>
        <w:tc>
          <w:tcPr>
            <w:tcW w:w="6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26,613</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2"/>
              </w:rPr>
              <w:t>Weighted-average shares used to compute net income per share attributable to common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52,278,009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50,184,455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12,642,293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560" w:type="dxa"/>
            <w:vAlign w:val="bottom"/>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56,908,197</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56,628,574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17,125,882</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28,705</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26,613</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gain (loss) on marketable securities,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66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28,732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56,567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26,608</w:t>
            </w:r>
          </w:p>
        </w:tc>
      </w:tr>
      <w:tr>
        <w:trPr>
          <w:trHeight w:val="21"/>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7"/>
              </w:rPr>
              <w:t>Accumulated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580" w:type="dxa"/>
            <w:vAlign w:val="bottom"/>
            <w:gridSpan w:val="3"/>
            <w:vMerge w:val="restart"/>
          </w:tcPr>
          <w:p>
            <w:pPr>
              <w:jc w:val="right"/>
              <w:ind w:right="3"/>
              <w:spacing w:after="0"/>
              <w:rPr>
                <w:sz w:val="20"/>
                <w:szCs w:val="20"/>
                <w:color w:val="auto"/>
              </w:rPr>
            </w:pPr>
            <w:r>
              <w:rPr>
                <w:rFonts w:ascii="Arial" w:cs="Arial" w:eastAsia="Arial" w:hAnsi="Arial"/>
                <w:sz w:val="12"/>
                <w:szCs w:val="12"/>
                <w:b w:val="1"/>
                <w:bCs w:val="1"/>
                <w:color w:val="auto"/>
                <w:w w:val="93"/>
              </w:rPr>
              <w:t>Convertible Preferred Stock</w:t>
            </w:r>
          </w:p>
        </w:tc>
        <w:tc>
          <w:tcPr>
            <w:tcW w:w="80" w:type="dxa"/>
            <w:vAlign w:val="bottom"/>
            <w:vMerge w:val="restart"/>
          </w:tcPr>
          <w:p>
            <w:pPr>
              <w:spacing w:after="0"/>
              <w:rPr>
                <w:sz w:val="12"/>
                <w:szCs w:val="12"/>
                <w:color w:val="auto"/>
              </w:rPr>
            </w:pPr>
          </w:p>
        </w:tc>
        <w:tc>
          <w:tcPr>
            <w:tcW w:w="1520" w:type="dxa"/>
            <w:vAlign w:val="bottom"/>
            <w:tcBorders>
              <w:right w:val="single" w:sz="8" w:color="auto"/>
            </w:tcBorders>
            <w:gridSpan w:val="3"/>
            <w:vMerge w:val="restart"/>
          </w:tcPr>
          <w:p>
            <w:pPr>
              <w:jc w:val="right"/>
              <w:spacing w:after="0"/>
              <w:rPr>
                <w:sz w:val="20"/>
                <w:szCs w:val="20"/>
                <w:color w:val="auto"/>
              </w:rPr>
            </w:pPr>
            <w:r>
              <w:rPr>
                <w:rFonts w:ascii="Arial" w:cs="Arial" w:eastAsia="Arial" w:hAnsi="Arial"/>
                <w:sz w:val="12"/>
                <w:szCs w:val="12"/>
                <w:b w:val="1"/>
                <w:bCs w:val="1"/>
                <w:color w:val="auto"/>
                <w:w w:val="88"/>
              </w:rPr>
              <w:t>Redeemable Common Stock</w:t>
            </w:r>
          </w:p>
        </w:tc>
        <w:tc>
          <w:tcPr>
            <w:tcW w:w="60" w:type="dxa"/>
            <w:vAlign w:val="bottom"/>
          </w:tcPr>
          <w:p>
            <w:pPr>
              <w:spacing w:after="0"/>
              <w:rPr>
                <w:sz w:val="12"/>
                <w:szCs w:val="12"/>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1"/>
              </w:rPr>
              <w:t>Additional</w:t>
            </w:r>
          </w:p>
        </w:tc>
        <w:tc>
          <w:tcPr>
            <w:tcW w:w="18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61"/>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6"/>
        </w:trPr>
        <w:tc>
          <w:tcPr>
            <w:tcW w:w="2480" w:type="dxa"/>
            <w:vAlign w:val="bottom"/>
          </w:tcPr>
          <w:p>
            <w:pPr>
              <w:spacing w:after="0"/>
              <w:rPr>
                <w:sz w:val="8"/>
                <w:szCs w:val="8"/>
                <w:color w:val="auto"/>
              </w:rPr>
            </w:pPr>
          </w:p>
        </w:tc>
        <w:tc>
          <w:tcPr>
            <w:tcW w:w="158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520" w:type="dxa"/>
            <w:vAlign w:val="bottom"/>
            <w:tcBorders>
              <w:bottom w:val="single" w:sz="8" w:color="auto"/>
              <w:right w:val="single" w:sz="8" w:color="auto"/>
            </w:tcBorders>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ind w:left="120"/>
              <w:spacing w:after="0" w:line="96" w:lineRule="exact"/>
              <w:rPr>
                <w:sz w:val="20"/>
                <w:szCs w:val="20"/>
                <w:color w:val="auto"/>
              </w:rPr>
            </w:pPr>
            <w:r>
              <w:rPr>
                <w:rFonts w:ascii="Arial" w:cs="Arial" w:eastAsia="Arial" w:hAnsi="Arial"/>
                <w:sz w:val="11"/>
                <w:szCs w:val="11"/>
                <w:b w:val="1"/>
                <w:bCs w:val="1"/>
                <w:color w:val="auto"/>
              </w:rPr>
              <w:t>Treasury</w:t>
            </w:r>
          </w:p>
        </w:tc>
        <w:tc>
          <w:tcPr>
            <w:tcW w:w="100" w:type="dxa"/>
            <w:vAlign w:val="bottom"/>
          </w:tcPr>
          <w:p>
            <w:pPr>
              <w:spacing w:after="0"/>
              <w:rPr>
                <w:sz w:val="8"/>
                <w:szCs w:val="8"/>
                <w:color w:val="auto"/>
              </w:rPr>
            </w:pPr>
          </w:p>
        </w:tc>
        <w:tc>
          <w:tcPr>
            <w:tcW w:w="680" w:type="dxa"/>
            <w:vAlign w:val="bottom"/>
            <w:gridSpan w:val="2"/>
          </w:tcPr>
          <w:p>
            <w:pPr>
              <w:jc w:val="center"/>
              <w:ind w:right="180"/>
              <w:spacing w:after="0" w:line="96" w:lineRule="exact"/>
              <w:rPr>
                <w:sz w:val="20"/>
                <w:szCs w:val="20"/>
                <w:color w:val="auto"/>
              </w:rPr>
            </w:pPr>
            <w:r>
              <w:rPr>
                <w:rFonts w:ascii="Arial" w:cs="Arial" w:eastAsia="Arial" w:hAnsi="Arial"/>
                <w:sz w:val="11"/>
                <w:szCs w:val="11"/>
                <w:b w:val="1"/>
                <w:bCs w:val="1"/>
                <w:color w:val="auto"/>
              </w:rPr>
              <w:t>Paid-In</w:t>
            </w:r>
          </w:p>
        </w:tc>
        <w:tc>
          <w:tcPr>
            <w:tcW w:w="900" w:type="dxa"/>
            <w:vAlign w:val="bottom"/>
            <w:gridSpan w:val="3"/>
          </w:tcPr>
          <w:p>
            <w:pPr>
              <w:ind w:left="20"/>
              <w:spacing w:after="0" w:line="96" w:lineRule="exact"/>
              <w:rPr>
                <w:sz w:val="20"/>
                <w:szCs w:val="20"/>
                <w:color w:val="auto"/>
              </w:rPr>
            </w:pPr>
            <w:r>
              <w:rPr>
                <w:rFonts w:ascii="Arial" w:cs="Arial" w:eastAsia="Arial" w:hAnsi="Arial"/>
                <w:sz w:val="11"/>
                <w:szCs w:val="11"/>
                <w:b w:val="1"/>
                <w:bCs w:val="1"/>
                <w:color w:val="auto"/>
              </w:rPr>
              <w:t>Comprehensive</w:t>
            </w:r>
          </w:p>
        </w:tc>
        <w:tc>
          <w:tcPr>
            <w:tcW w:w="120" w:type="dxa"/>
            <w:vAlign w:val="bottom"/>
          </w:tcPr>
          <w:p>
            <w:pPr>
              <w:spacing w:after="0"/>
              <w:rPr>
                <w:sz w:val="8"/>
                <w:szCs w:val="8"/>
                <w:color w:val="auto"/>
              </w:rPr>
            </w:pPr>
          </w:p>
        </w:tc>
        <w:tc>
          <w:tcPr>
            <w:tcW w:w="680" w:type="dxa"/>
            <w:vAlign w:val="bottom"/>
            <w:gridSpan w:val="2"/>
          </w:tcPr>
          <w:p>
            <w:pPr>
              <w:ind w:left="20"/>
              <w:spacing w:after="0" w:line="96" w:lineRule="exact"/>
              <w:rPr>
                <w:sz w:val="20"/>
                <w:szCs w:val="20"/>
                <w:color w:val="auto"/>
              </w:rPr>
            </w:pPr>
            <w:r>
              <w:rPr>
                <w:rFonts w:ascii="Arial" w:cs="Arial" w:eastAsia="Arial" w:hAnsi="Arial"/>
                <w:sz w:val="11"/>
                <w:szCs w:val="11"/>
                <w:b w:val="1"/>
                <w:bCs w:val="1"/>
                <w:color w:val="auto"/>
              </w:rPr>
              <w:t>Retained</w:t>
            </w:r>
          </w:p>
        </w:tc>
        <w:tc>
          <w:tcPr>
            <w:tcW w:w="720" w:type="dxa"/>
            <w:vAlign w:val="bottom"/>
            <w:gridSpan w:val="2"/>
          </w:tcPr>
          <w:p>
            <w:pPr>
              <w:ind w:left="20"/>
              <w:spacing w:after="0" w:line="96" w:lineRule="exact"/>
              <w:rPr>
                <w:sz w:val="20"/>
                <w:szCs w:val="20"/>
                <w:color w:val="auto"/>
              </w:rPr>
            </w:pPr>
            <w:r>
              <w:rPr>
                <w:rFonts w:ascii="Arial" w:cs="Arial" w:eastAsia="Arial" w:hAnsi="Arial"/>
                <w:sz w:val="11"/>
                <w:szCs w:val="11"/>
                <w:b w:val="1"/>
                <w:bCs w:val="1"/>
                <w:color w:val="auto"/>
                <w:w w:val="93"/>
              </w:rPr>
              <w:t>Stockholders’</w:t>
            </w: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7"/>
                <w:szCs w:val="17"/>
                <w:color w:val="auto"/>
              </w:rPr>
            </w:pPr>
          </w:p>
        </w:tc>
        <w:tc>
          <w:tcPr>
            <w:tcW w:w="960" w:type="dxa"/>
            <w:vAlign w:val="bottom"/>
            <w:gridSpan w:val="2"/>
          </w:tcPr>
          <w:p>
            <w:pPr>
              <w:ind w:left="260"/>
              <w:spacing w:after="0"/>
              <w:rPr>
                <w:sz w:val="20"/>
                <w:szCs w:val="20"/>
                <w:color w:val="auto"/>
              </w:rPr>
            </w:pPr>
            <w:r>
              <w:rPr>
                <w:rFonts w:ascii="Arial" w:cs="Arial" w:eastAsia="Arial" w:hAnsi="Arial"/>
                <w:sz w:val="12"/>
                <w:szCs w:val="12"/>
                <w:b w:val="1"/>
                <w:bCs w:val="1"/>
                <w:color w:val="auto"/>
              </w:rPr>
              <w:t>Shares</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640" w:type="dxa"/>
            <w:vAlign w:val="bottom"/>
            <w:tcBorders>
              <w:right w:val="single" w:sz="8" w:color="auto"/>
            </w:tcBorders>
          </w:tcPr>
          <w:p>
            <w:pPr>
              <w:jc w:val="right"/>
              <w:ind w:right="43"/>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7"/>
                <w:szCs w:val="17"/>
                <w:color w:val="auto"/>
              </w:rPr>
            </w:pPr>
          </w:p>
        </w:tc>
        <w:tc>
          <w:tcPr>
            <w:tcW w:w="88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Income (Loss)</w:t>
            </w:r>
          </w:p>
        </w:tc>
        <w:tc>
          <w:tcPr>
            <w:tcW w:w="12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7"/>
                <w:szCs w:val="17"/>
                <w:color w:val="auto"/>
              </w:rPr>
            </w:pPr>
          </w:p>
        </w:tc>
        <w:tc>
          <w:tcPr>
            <w:tcW w:w="620" w:type="dxa"/>
            <w:vAlign w:val="bottom"/>
          </w:tcPr>
          <w:p>
            <w:pPr>
              <w:jc w:val="right"/>
              <w:ind w:right="121"/>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4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December 31, 2019</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7"/>
              </w:rPr>
              <w:t>33,443,969</w:t>
            </w:r>
          </w:p>
        </w:tc>
        <w:tc>
          <w:tcPr>
            <w:tcW w:w="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$61,216</w:t>
            </w:r>
          </w:p>
        </w:tc>
        <w:tc>
          <w:tcPr>
            <w:tcW w:w="8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98"/>
              </w:rPr>
              <w:t>5,901,863</w:t>
            </w:r>
          </w:p>
        </w:tc>
        <w:tc>
          <w:tcPr>
            <w:tcW w:w="8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93"/>
              </w:rPr>
              <w:t>$19,025</w:t>
            </w:r>
          </w:p>
        </w:tc>
        <w:tc>
          <w:tcPr>
            <w:tcW w:w="6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5,746,216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 (11,431)</w:t>
            </w: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8,641</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16,078</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13,295</w:t>
            </w:r>
          </w:p>
        </w:tc>
        <w:tc>
          <w:tcPr>
            <w:tcW w:w="0" w:type="dxa"/>
            <w:vAlign w:val="bottom"/>
          </w:tcPr>
          <w:p>
            <w:pPr>
              <w:spacing w:after="0"/>
              <w:rPr>
                <w:sz w:val="1"/>
                <w:szCs w:val="1"/>
                <w:color w:val="auto"/>
              </w:rPr>
            </w:pPr>
          </w:p>
        </w:tc>
      </w:tr>
      <w:tr>
        <w:trPr>
          <w:trHeight w:val="233"/>
        </w:trPr>
        <w:tc>
          <w:tcPr>
            <w:tcW w:w="248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3,603</w:t>
            </w:r>
          </w:p>
        </w:tc>
        <w:tc>
          <w:tcPr>
            <w:tcW w:w="0" w:type="dxa"/>
            <w:vAlign w:val="bottom"/>
          </w:tcPr>
          <w:p>
            <w:pPr>
              <w:spacing w:after="0"/>
              <w:rPr>
                <w:sz w:val="1"/>
                <w:szCs w:val="1"/>
                <w:color w:val="auto"/>
              </w:rPr>
            </w:pPr>
          </w:p>
        </w:tc>
      </w:tr>
      <w:tr>
        <w:trPr>
          <w:trHeight w:val="253"/>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 of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1,241,970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06"/>
        </w:trPr>
        <w:tc>
          <w:tcPr>
            <w:tcW w:w="2480" w:type="dxa"/>
            <w:vAlign w:val="bottom"/>
          </w:tcPr>
          <w:p>
            <w:pPr>
              <w:ind w:left="240"/>
              <w:spacing w:after="0"/>
              <w:rPr>
                <w:sz w:val="20"/>
                <w:szCs w:val="20"/>
                <w:color w:val="auto"/>
              </w:rPr>
            </w:pPr>
            <w:r>
              <w:rPr>
                <w:rFonts w:ascii="Arial" w:cs="Arial" w:eastAsia="Arial" w:hAnsi="Arial"/>
                <w:sz w:val="16"/>
                <w:szCs w:val="16"/>
                <w:color w:val="auto"/>
                <w:w w:val="96"/>
              </w:rPr>
              <w:t>Repurchase of treasury stock, at</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40"/>
              <w:spacing w:after="0"/>
              <w:rPr>
                <w:sz w:val="20"/>
                <w:szCs w:val="20"/>
                <w:color w:val="auto"/>
              </w:rPr>
            </w:pPr>
            <w:r>
              <w:rPr>
                <w:rFonts w:ascii="Arial" w:cs="Arial" w:eastAsia="Arial" w:hAnsi="Arial"/>
                <w:sz w:val="16"/>
                <w:szCs w:val="16"/>
                <w:color w:val="auto"/>
              </w:rPr>
              <w:t>cost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2"/>
              </w:rPr>
              <w:t>Repayment of shareholders notes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receivable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233"/>
        </w:trPr>
        <w:tc>
          <w:tcPr>
            <w:tcW w:w="2480" w:type="dxa"/>
            <w:vAlign w:val="bottom"/>
          </w:tcPr>
          <w:p>
            <w:pPr>
              <w:ind w:left="240"/>
              <w:spacing w:after="0"/>
              <w:rPr>
                <w:sz w:val="20"/>
                <w:szCs w:val="20"/>
                <w:color w:val="auto"/>
              </w:rPr>
            </w:pPr>
            <w:r>
              <w:rPr>
                <w:rFonts w:ascii="Arial" w:cs="Arial" w:eastAsia="Arial" w:hAnsi="Arial"/>
                <w:sz w:val="16"/>
                <w:szCs w:val="16"/>
                <w:color w:val="auto"/>
                <w:w w:val="93"/>
              </w:rPr>
              <w:t>Reclassification of common stock</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2"/>
              </w:rPr>
              <w:t>(5,901,863)</w:t>
            </w:r>
          </w:p>
        </w:tc>
        <w:tc>
          <w:tcPr>
            <w:tcW w:w="80" w:type="dxa"/>
            <w:vAlign w:val="bottom"/>
          </w:tcPr>
          <w:p>
            <w:pPr>
              <w:spacing w:after="0"/>
              <w:rPr>
                <w:sz w:val="20"/>
                <w:szCs w:val="20"/>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7"/>
              </w:rPr>
              <w:t>(19,025)</w:t>
            </w: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5,901,863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19,025</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Conversion of convertible</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5"/>
              </w:rPr>
              <w:t>preferred stock to common stock</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upon initial offering</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(33,443,969)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(61,216)</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33,443,969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61,216</w:t>
            </w:r>
          </w:p>
        </w:tc>
        <w:tc>
          <w:tcPr>
            <w:tcW w:w="0" w:type="dxa"/>
            <w:vAlign w:val="bottom"/>
          </w:tcPr>
          <w:p>
            <w:pPr>
              <w:spacing w:after="0"/>
              <w:rPr>
                <w:sz w:val="1"/>
                <w:szCs w:val="1"/>
                <w:color w:val="auto"/>
              </w:rPr>
            </w:pPr>
          </w:p>
        </w:tc>
      </w:tr>
      <w:tr>
        <w:trPr>
          <w:trHeight w:val="206"/>
        </w:trPr>
        <w:tc>
          <w:tcPr>
            <w:tcW w:w="2480" w:type="dxa"/>
            <w:vAlign w:val="bottom"/>
          </w:tcPr>
          <w:p>
            <w:pPr>
              <w:ind w:left="240"/>
              <w:spacing w:after="0"/>
              <w:rPr>
                <w:sz w:val="20"/>
                <w:szCs w:val="20"/>
                <w:color w:val="auto"/>
              </w:rPr>
            </w:pPr>
            <w:r>
              <w:rPr>
                <w:rFonts w:ascii="Arial" w:cs="Arial" w:eastAsia="Arial" w:hAnsi="Arial"/>
                <w:sz w:val="16"/>
                <w:szCs w:val="16"/>
                <w:color w:val="auto"/>
                <w:w w:val="96"/>
              </w:rPr>
              <w:t>Issuance of common stock upon</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Pr>
          <w:p>
            <w:pPr>
              <w:ind w:left="240"/>
              <w:spacing w:after="0"/>
              <w:rPr>
                <w:sz w:val="20"/>
                <w:szCs w:val="20"/>
                <w:color w:val="auto"/>
              </w:rPr>
            </w:pPr>
            <w:r>
              <w:rPr>
                <w:rFonts w:ascii="Arial" w:cs="Arial" w:eastAsia="Arial" w:hAnsi="Arial"/>
                <w:sz w:val="16"/>
                <w:szCs w:val="16"/>
                <w:color w:val="auto"/>
              </w:rPr>
              <w:t>initial public offering, net of</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40"/>
              <w:spacing w:after="0"/>
              <w:rPr>
                <w:sz w:val="20"/>
                <w:szCs w:val="20"/>
                <w:color w:val="auto"/>
              </w:rPr>
            </w:pPr>
            <w:r>
              <w:rPr>
                <w:rFonts w:ascii="Arial" w:cs="Arial" w:eastAsia="Arial" w:hAnsi="Arial"/>
                <w:sz w:val="16"/>
                <w:szCs w:val="16"/>
                <w:color w:val="auto"/>
              </w:rPr>
              <w:t>underwriting discounts and</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40"/>
              <w:spacing w:after="0"/>
              <w:rPr>
                <w:sz w:val="20"/>
                <w:szCs w:val="20"/>
                <w:color w:val="auto"/>
              </w:rPr>
            </w:pPr>
            <w:r>
              <w:rPr>
                <w:rFonts w:ascii="Arial" w:cs="Arial" w:eastAsia="Arial" w:hAnsi="Arial"/>
                <w:sz w:val="16"/>
                <w:szCs w:val="16"/>
                <w:color w:val="auto"/>
                <w:w w:val="99"/>
              </w:rPr>
              <w:t>commissions and other offering</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40"/>
              <w:spacing w:after="0"/>
              <w:rPr>
                <w:sz w:val="20"/>
                <w:szCs w:val="20"/>
                <w:color w:val="auto"/>
              </w:rPr>
            </w:pPr>
            <w:r>
              <w:rPr>
                <w:rFonts w:ascii="Arial" w:cs="Arial" w:eastAsia="Arial" w:hAnsi="Arial"/>
                <w:sz w:val="16"/>
                <w:szCs w:val="16"/>
                <w:color w:val="auto"/>
              </w:rPr>
              <w:t>costs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2,655,000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45,005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45,006</w:t>
            </w:r>
          </w:p>
        </w:tc>
        <w:tc>
          <w:tcPr>
            <w:tcW w:w="0" w:type="dxa"/>
            <w:vAlign w:val="bottom"/>
          </w:tcPr>
          <w:p>
            <w:pPr>
              <w:spacing w:after="0"/>
              <w:rPr>
                <w:sz w:val="1"/>
                <w:szCs w:val="1"/>
                <w:color w:val="auto"/>
              </w:rPr>
            </w:pPr>
          </w:p>
        </w:tc>
      </w:tr>
      <w:tr>
        <w:trPr>
          <w:trHeight w:val="253"/>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income</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26,613</w:t>
            </w: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48,988,142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144,163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175,427</w:t>
            </w:r>
          </w:p>
        </w:tc>
        <w:tc>
          <w:tcPr>
            <w:tcW w:w="0" w:type="dxa"/>
            <w:vAlign w:val="bottom"/>
          </w:tcPr>
          <w:p>
            <w:pPr>
              <w:spacing w:after="0"/>
              <w:rPr>
                <w:sz w:val="1"/>
                <w:szCs w:val="1"/>
                <w:color w:val="auto"/>
              </w:rPr>
            </w:pPr>
          </w:p>
        </w:tc>
      </w:tr>
      <w:tr>
        <w:trPr>
          <w:trHeight w:val="233"/>
        </w:trPr>
        <w:tc>
          <w:tcPr>
            <w:tcW w:w="248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15,011</w:t>
            </w:r>
          </w:p>
        </w:tc>
        <w:tc>
          <w:tcPr>
            <w:tcW w:w="0" w:type="dxa"/>
            <w:vAlign w:val="bottom"/>
          </w:tcPr>
          <w:p>
            <w:pPr>
              <w:spacing w:after="0"/>
              <w:rPr>
                <w:sz w:val="1"/>
                <w:szCs w:val="1"/>
                <w:color w:val="auto"/>
              </w:rPr>
            </w:pPr>
          </w:p>
        </w:tc>
      </w:tr>
      <w:tr>
        <w:trPr>
          <w:trHeight w:val="253"/>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 of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2,511,505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w:t>
            </w:r>
          </w:p>
        </w:tc>
        <w:tc>
          <w:tcPr>
            <w:tcW w:w="0" w:type="dxa"/>
            <w:vAlign w:val="bottom"/>
          </w:tcPr>
          <w:p>
            <w:pPr>
              <w:spacing w:after="0"/>
              <w:rPr>
                <w:sz w:val="1"/>
                <w:szCs w:val="1"/>
                <w:color w:val="auto"/>
              </w:rPr>
            </w:pPr>
          </w:p>
        </w:tc>
      </w:tr>
      <w:tr>
        <w:trPr>
          <w:trHeight w:val="206"/>
        </w:trPr>
        <w:tc>
          <w:tcPr>
            <w:tcW w:w="2480" w:type="dxa"/>
            <w:vAlign w:val="bottom"/>
          </w:tcPr>
          <w:p>
            <w:pPr>
              <w:ind w:left="240"/>
              <w:spacing w:after="0"/>
              <w:rPr>
                <w:sz w:val="20"/>
                <w:szCs w:val="20"/>
                <w:color w:val="auto"/>
              </w:rPr>
            </w:pPr>
            <w:r>
              <w:rPr>
                <w:rFonts w:ascii="Arial" w:cs="Arial" w:eastAsia="Arial" w:hAnsi="Arial"/>
                <w:sz w:val="16"/>
                <w:szCs w:val="16"/>
                <w:color w:val="auto"/>
                <w:w w:val="96"/>
              </w:rPr>
              <w:t>Repurchase of treasury stock, at</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40"/>
              <w:spacing w:after="0"/>
              <w:rPr>
                <w:sz w:val="20"/>
                <w:szCs w:val="20"/>
                <w:color w:val="auto"/>
              </w:rPr>
            </w:pPr>
            <w:r>
              <w:rPr>
                <w:rFonts w:ascii="Arial" w:cs="Arial" w:eastAsia="Arial" w:hAnsi="Arial"/>
                <w:sz w:val="16"/>
                <w:szCs w:val="16"/>
                <w:color w:val="auto"/>
              </w:rPr>
              <w:t>cost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1"/>
              </w:rPr>
              <w:t>Issuance of common stock related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4"/>
              </w:rPr>
              <w:t>to employee stock purchase plan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276,406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0" w:type="dxa"/>
            <w:vAlign w:val="bottom"/>
          </w:tcPr>
          <w:p>
            <w:pPr>
              <w:spacing w:after="0"/>
              <w:rPr>
                <w:sz w:val="1"/>
                <w:szCs w:val="1"/>
                <w:color w:val="auto"/>
              </w:rPr>
            </w:pPr>
          </w:p>
        </w:tc>
      </w:tr>
      <w:tr>
        <w:trPr>
          <w:trHeight w:val="206"/>
        </w:trPr>
        <w:tc>
          <w:tcPr>
            <w:tcW w:w="2480" w:type="dxa"/>
            <w:vAlign w:val="bottom"/>
          </w:tcPr>
          <w:p>
            <w:pPr>
              <w:ind w:left="240"/>
              <w:spacing w:after="0"/>
              <w:rPr>
                <w:sz w:val="20"/>
                <w:szCs w:val="20"/>
                <w:color w:val="auto"/>
              </w:rPr>
            </w:pPr>
            <w:r>
              <w:rPr>
                <w:rFonts w:ascii="Arial" w:cs="Arial" w:eastAsia="Arial" w:hAnsi="Arial"/>
                <w:sz w:val="16"/>
                <w:szCs w:val="16"/>
                <w:color w:val="auto"/>
                <w:w w:val="91"/>
              </w:rPr>
              <w:t>Issuance of common stock related</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40"/>
              <w:spacing w:after="0"/>
              <w:rPr>
                <w:sz w:val="20"/>
                <w:szCs w:val="20"/>
                <w:color w:val="auto"/>
              </w:rPr>
            </w:pPr>
            <w:r>
              <w:rPr>
                <w:rFonts w:ascii="Arial" w:cs="Arial" w:eastAsia="Arial" w:hAnsi="Arial"/>
                <w:sz w:val="16"/>
                <w:szCs w:val="16"/>
                <w:color w:val="auto"/>
              </w:rPr>
              <w:t>to RSU vesting</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79,838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7"/>
        </w:trPr>
        <w:tc>
          <w:tcPr>
            <w:tcW w:w="24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income</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640" w:type="dxa"/>
            <w:vAlign w:val="bottom"/>
            <w:tcBorders>
              <w:bottom w:val="single" w:sz="8" w:color="auto"/>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56,604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56,604</w:t>
            </w: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51,854,749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169,401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99,295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257,180</w:t>
            </w:r>
          </w:p>
        </w:tc>
        <w:tc>
          <w:tcPr>
            <w:tcW w:w="0" w:type="dxa"/>
            <w:vAlign w:val="bottom"/>
          </w:tcPr>
          <w:p>
            <w:pPr>
              <w:spacing w:after="0"/>
              <w:rPr>
                <w:sz w:val="1"/>
                <w:szCs w:val="1"/>
                <w:color w:val="auto"/>
              </w:rPr>
            </w:pPr>
          </w:p>
        </w:tc>
      </w:tr>
      <w:tr>
        <w:trPr>
          <w:trHeight w:val="233"/>
        </w:trPr>
        <w:tc>
          <w:tcPr>
            <w:tcW w:w="248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22,121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22,121</w:t>
            </w:r>
          </w:p>
        </w:tc>
        <w:tc>
          <w:tcPr>
            <w:tcW w:w="0" w:type="dxa"/>
            <w:vAlign w:val="bottom"/>
          </w:tcPr>
          <w:p>
            <w:pPr>
              <w:spacing w:after="0"/>
              <w:rPr>
                <w:sz w:val="1"/>
                <w:szCs w:val="1"/>
                <w:color w:val="auto"/>
              </w:rPr>
            </w:pPr>
          </w:p>
        </w:tc>
      </w:tr>
      <w:tr>
        <w:trPr>
          <w:trHeight w:val="253"/>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 of stock options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358,418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206"/>
        </w:trPr>
        <w:tc>
          <w:tcPr>
            <w:tcW w:w="2480" w:type="dxa"/>
            <w:vAlign w:val="bottom"/>
          </w:tcPr>
          <w:p>
            <w:pPr>
              <w:ind w:left="240"/>
              <w:spacing w:after="0"/>
              <w:rPr>
                <w:sz w:val="20"/>
                <w:szCs w:val="20"/>
                <w:color w:val="auto"/>
              </w:rPr>
            </w:pPr>
            <w:r>
              <w:rPr>
                <w:rFonts w:ascii="Arial" w:cs="Arial" w:eastAsia="Arial" w:hAnsi="Arial"/>
                <w:sz w:val="16"/>
                <w:szCs w:val="16"/>
                <w:color w:val="auto"/>
                <w:w w:val="91"/>
              </w:rPr>
              <w:t>Issuance of common stock related</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240"/>
              <w:spacing w:after="0"/>
              <w:rPr>
                <w:sz w:val="20"/>
                <w:szCs w:val="20"/>
                <w:color w:val="auto"/>
              </w:rPr>
            </w:pPr>
            <w:r>
              <w:rPr>
                <w:rFonts w:ascii="Arial" w:cs="Arial" w:eastAsia="Arial" w:hAnsi="Arial"/>
                <w:sz w:val="16"/>
                <w:szCs w:val="16"/>
                <w:color w:val="auto"/>
                <w:w w:val="94"/>
              </w:rPr>
              <w:t>to employee stock purchase plan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183,587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2,960</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w w:val="91"/>
              </w:rPr>
              <w:t>Issuance of common stock related</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 RSU vesting</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308,433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480" w:type="dxa"/>
            <w:vAlign w:val="bottom"/>
          </w:tcPr>
          <w:p>
            <w:pPr>
              <w:ind w:left="240"/>
              <w:spacing w:after="0"/>
              <w:rPr>
                <w:sz w:val="20"/>
                <w:szCs w:val="20"/>
                <w:color w:val="auto"/>
              </w:rPr>
            </w:pPr>
            <w:r>
              <w:rPr>
                <w:rFonts w:ascii="Arial" w:cs="Arial" w:eastAsia="Arial" w:hAnsi="Arial"/>
                <w:sz w:val="16"/>
                <w:szCs w:val="16"/>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46"/>
        </w:trPr>
        <w:tc>
          <w:tcPr>
            <w:tcW w:w="24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right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28,705</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28,705</w:t>
            </w:r>
          </w:p>
        </w:tc>
        <w:tc>
          <w:tcPr>
            <w:tcW w:w="0" w:type="dxa"/>
            <w:vAlign w:val="bottom"/>
          </w:tcPr>
          <w:p>
            <w:pPr>
              <w:spacing w:after="0"/>
              <w:rPr>
                <w:sz w:val="1"/>
                <w:szCs w:val="1"/>
                <w:color w:val="auto"/>
              </w:rPr>
            </w:pPr>
          </w:p>
        </w:tc>
      </w:tr>
      <w:tr>
        <w:trPr>
          <w:trHeight w:val="243"/>
        </w:trPr>
        <w:tc>
          <w:tcPr>
            <w:tcW w:w="2480" w:type="dxa"/>
            <w:vAlign w:val="bottom"/>
          </w:tcPr>
          <w:p>
            <w:pPr>
              <w:ind w:left="20"/>
              <w:spacing w:after="0"/>
              <w:rPr>
                <w:sz w:val="20"/>
                <w:szCs w:val="20"/>
                <w:color w:val="auto"/>
              </w:rPr>
            </w:pPr>
            <w:r>
              <w:rPr>
                <w:rFonts w:ascii="Arial" w:cs="Arial" w:eastAsia="Arial" w:hAnsi="Arial"/>
                <w:sz w:val="16"/>
                <w:szCs w:val="16"/>
                <w:color w:val="auto"/>
              </w:rPr>
              <w:t>Balance — December 31, 2022</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89"/>
              </w:rPr>
              <w:t>52,705,187</w:t>
            </w:r>
          </w:p>
        </w:tc>
        <w:tc>
          <w:tcPr>
            <w:tcW w:w="80" w:type="dxa"/>
            <w:vAlign w:val="bottom"/>
          </w:tcPr>
          <w:p>
            <w:pPr>
              <w:spacing w:after="0"/>
              <w:rPr>
                <w:sz w:val="21"/>
                <w:szCs w:val="21"/>
                <w:color w:val="auto"/>
              </w:rPr>
            </w:pPr>
          </w:p>
        </w:tc>
        <w:tc>
          <w:tcPr>
            <w:tcW w:w="280" w:type="dxa"/>
            <w:vAlign w:val="bottom"/>
          </w:tcPr>
          <w:p>
            <w:pPr>
              <w:jc w:val="right"/>
              <w:ind w:right="107"/>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 (11,486)</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195,677</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128,000</w:t>
            </w:r>
          </w:p>
        </w:tc>
        <w:tc>
          <w:tcPr>
            <w:tcW w:w="10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312,188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PUBMATIC, INC. AND SUBSIDIARIES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9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9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28,705</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56,604</w:t>
            </w:r>
          </w:p>
        </w:tc>
        <w:tc>
          <w:tcPr>
            <w:tcW w:w="8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26,613</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34,249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23,073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15,743</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Unrealized (gain) loss and impairment of equity investment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20,646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14,107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3,563</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doubtful accounts</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(7,166)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4,753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2,933</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 of discount on marketable securities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Arial" w:cs="Arial" w:eastAsia="Arial" w:hAnsi="Arial"/>
                <w:sz w:val="16"/>
                <w:szCs w:val="16"/>
                <w:color w:val="auto"/>
              </w:rPr>
              <w:t>Non-cash lease expense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5,831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33"/>
        </w:trPr>
        <w:tc>
          <w:tcPr>
            <w:tcW w:w="6960" w:type="dxa"/>
            <w:vAlign w:val="bottom"/>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(67,405)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(102,175)</w:t>
            </w:r>
          </w:p>
        </w:tc>
        <w:tc>
          <w:tcPr>
            <w:tcW w:w="0" w:type="dxa"/>
            <w:vAlign w:val="bottom"/>
          </w:tcPr>
          <w:p>
            <w:pPr>
              <w:spacing w:after="0"/>
              <w:rPr>
                <w:sz w:val="1"/>
                <w:szCs w:val="1"/>
                <w:color w:val="auto"/>
              </w:rPr>
            </w:pPr>
          </w:p>
        </w:tc>
      </w:tr>
      <w:tr>
        <w:trPr>
          <w:trHeight w:val="233"/>
        </w:trPr>
        <w:tc>
          <w:tcPr>
            <w:tcW w:w="6960" w:type="dxa"/>
            <w:vAlign w:val="bottom"/>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(7,681)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68,301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77,357</w:t>
            </w:r>
          </w:p>
        </w:tc>
        <w:tc>
          <w:tcPr>
            <w:tcW w:w="0" w:type="dxa"/>
            <w:vAlign w:val="bottom"/>
          </w:tcPr>
          <w:p>
            <w:pPr>
              <w:spacing w:after="0"/>
              <w:rPr>
                <w:sz w:val="1"/>
                <w:szCs w:val="1"/>
                <w:color w:val="auto"/>
              </w:rPr>
            </w:pPr>
          </w:p>
        </w:tc>
      </w:tr>
      <w:tr>
        <w:trPr>
          <w:trHeight w:val="233"/>
        </w:trPr>
        <w:tc>
          <w:tcPr>
            <w:tcW w:w="6960" w:type="dxa"/>
            <w:vAlign w:val="bottom"/>
          </w:tcPr>
          <w:p>
            <w:pPr>
              <w:ind w:left="660"/>
              <w:spacing w:after="0"/>
              <w:rPr>
                <w:sz w:val="20"/>
                <w:szCs w:val="20"/>
                <w:color w:val="auto"/>
              </w:rPr>
            </w:pPr>
            <w:r>
              <w:rPr>
                <w:rFonts w:ascii="Arial" w:cs="Arial" w:eastAsia="Arial" w:hAnsi="Arial"/>
                <w:sz w:val="16"/>
                <w:szCs w:val="16"/>
                <w:color w:val="auto"/>
              </w:rPr>
              <w:t>Accrued liabilities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3,452</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liabilities, non-current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87,212</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88,681</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24,330</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and deposits on property and equipment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(24,177)</w:t>
            </w: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Arial" w:cs="Arial" w:eastAsia="Arial" w:hAnsi="Arial"/>
                <w:sz w:val="16"/>
                <w:szCs w:val="16"/>
                <w:color w:val="auto"/>
              </w:rPr>
              <w:t>Capitalized software development costs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(7,226)</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(90,562)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(36,704)</w:t>
            </w: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Arial" w:cs="Arial" w:eastAsia="Arial" w:hAnsi="Arial"/>
                <w:sz w:val="16"/>
                <w:szCs w:val="16"/>
                <w:color w:val="auto"/>
              </w:rPr>
              <w:t>Proceeds from sales of marketable securities</w:t>
            </w:r>
          </w:p>
        </w:tc>
        <w:tc>
          <w:tcPr>
            <w:tcW w:w="3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maturities of marketable securities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35,950</w:t>
            </w: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Arial" w:cs="Arial" w:eastAsia="Arial" w:hAnsi="Arial"/>
                <w:sz w:val="16"/>
                <w:szCs w:val="16"/>
                <w:color w:val="auto"/>
              </w:rPr>
              <w:t>Purchase of equity securities</w:t>
            </w:r>
          </w:p>
        </w:tc>
        <w:tc>
          <w:tcPr>
            <w:tcW w:w="3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6"/>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Business combination, net of cash acquired</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(81,371)</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(96,723)</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(29,877)</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Arial" w:cs="Arial" w:eastAsia="Arial" w:hAnsi="Arial"/>
                <w:sz w:val="16"/>
                <w:szCs w:val="16"/>
                <w:color w:val="auto"/>
              </w:rPr>
              <w:t>Proceeds from initial public offering, net of underwriting discounts and commissions</w:t>
            </w:r>
          </w:p>
        </w:tc>
        <w:tc>
          <w:tcPr>
            <w:tcW w:w="3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45,811</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repayments of stockholders’ notes receivable</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for employee stock purchase plan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4,804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33"/>
        </w:trPr>
        <w:tc>
          <w:tcPr>
            <w:tcW w:w="6960" w:type="dxa"/>
            <w:vAlign w:val="bottom"/>
          </w:tcPr>
          <w:p>
            <w:pPr>
              <w:ind w:left="240"/>
              <w:spacing w:after="0"/>
              <w:rPr>
                <w:sz w:val="20"/>
                <w:szCs w:val="20"/>
                <w:color w:val="auto"/>
              </w:rPr>
            </w:pPr>
            <w:r>
              <w:rPr>
                <w:rFonts w:ascii="Arial" w:cs="Arial" w:eastAsia="Arial" w:hAnsi="Arial"/>
                <w:sz w:val="16"/>
                <w:szCs w:val="16"/>
                <w:color w:val="auto"/>
              </w:rPr>
              <w:t>Principal payments on finance lease obligations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69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Payments to acquire treasury stock</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6"/>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4,036</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9,359</w:t>
            </w: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52,485</w:t>
            </w:r>
          </w:p>
        </w:tc>
        <w:tc>
          <w:tcPr>
            <w:tcW w:w="0" w:type="dxa"/>
            <w:vAlign w:val="bottom"/>
          </w:tcPr>
          <w:p>
            <w:pPr>
              <w:spacing w:after="0"/>
              <w:rPr>
                <w:sz w:val="1"/>
                <w:szCs w:val="1"/>
                <w:color w:val="auto"/>
              </w:rPr>
            </w:pPr>
          </w:p>
        </w:tc>
      </w:tr>
      <w:tr>
        <w:trPr>
          <w:trHeight w:val="24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46,938</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 Beginning of Year</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82,505</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81,188</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34,250</w:t>
            </w:r>
          </w:p>
        </w:tc>
        <w:tc>
          <w:tcPr>
            <w:tcW w:w="0" w:type="dxa"/>
            <w:vAlign w:val="bottom"/>
          </w:tcPr>
          <w:p>
            <w:pPr>
              <w:spacing w:after="0"/>
              <w:rPr>
                <w:sz w:val="1"/>
                <w:szCs w:val="1"/>
                <w:color w:val="auto"/>
              </w:rPr>
            </w:pPr>
          </w:p>
        </w:tc>
      </w:tr>
      <w:tr>
        <w:trPr>
          <w:trHeight w:val="26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Year</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92,382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82,505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81,188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9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NON-CASH INVESTING AND FINANCING</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80"/>
              <w:spacing w:after="0"/>
              <w:rPr>
                <w:sz w:val="20"/>
                <w:szCs w:val="20"/>
                <w:color w:val="auto"/>
              </w:rPr>
            </w:pPr>
            <w:r>
              <w:rPr>
                <w:rFonts w:ascii="Arial" w:cs="Arial" w:eastAsia="Arial" w:hAnsi="Arial"/>
                <w:sz w:val="16"/>
                <w:szCs w:val="16"/>
                <w:color w:val="auto"/>
              </w:rPr>
              <w:t>INFORMATION: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capitalized as internal use software costs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60" w:type="dxa"/>
            <w:vAlign w:val="bottom"/>
          </w:tcPr>
          <w:p>
            <w:pPr>
              <w:ind w:left="20"/>
              <w:spacing w:after="0"/>
              <w:rPr>
                <w:sz w:val="20"/>
                <w:szCs w:val="20"/>
                <w:color w:val="auto"/>
              </w:rPr>
            </w:pPr>
            <w:r>
              <w:rPr>
                <w:rFonts w:ascii="Arial" w:cs="Arial" w:eastAsia="Arial" w:hAnsi="Arial"/>
                <w:sz w:val="16"/>
                <w:szCs w:val="16"/>
                <w:color w:val="auto"/>
              </w:rPr>
              <w:t>Property and equipment included in accounts payable and accrued expenses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 costs included in accounts payable and accrued expenses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60" w:type="dxa"/>
            <w:vAlign w:val="bottom"/>
          </w:tcPr>
          <w:p>
            <w:pPr>
              <w:ind w:left="20"/>
              <w:spacing w:after="0"/>
              <w:rPr>
                <w:sz w:val="20"/>
                <w:szCs w:val="20"/>
                <w:color w:val="auto"/>
              </w:rPr>
            </w:pPr>
            <w:r>
              <w:rPr>
                <w:rFonts w:ascii="Arial" w:cs="Arial" w:eastAsia="Arial" w:hAnsi="Arial"/>
                <w:sz w:val="16"/>
                <w:szCs w:val="16"/>
                <w:color w:val="auto"/>
              </w:rPr>
              <w:t>Deferred offering costs included in accounts payable and accrued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Business combination purchase consideration - indemnification claims holdback</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233" w:right="359" w:bottom="1440" w:gutter="0" w:footer="0" w:header="0"/>
        </w:sectPr>
      </w:pP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PUBMATIC,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PubMatic, Inc. (together with its subsidiaries, the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right="500" w:firstLine="324"/>
        <w:spacing w:after="0" w:line="406" w:lineRule="auto"/>
        <w:rPr>
          <w:sz w:val="20"/>
          <w:szCs w:val="20"/>
          <w:color w:val="auto"/>
        </w:rPr>
      </w:pPr>
      <w:r>
        <w:rPr>
          <w:rFonts w:ascii="Arial" w:cs="Arial" w:eastAsia="Arial" w:hAnsi="Arial"/>
          <w:sz w:val="18"/>
          <w:szCs w:val="18"/>
          <w:color w:val="auto"/>
        </w:rPr>
        <w:t xml:space="preserve">The Company’s fiscal year ends on December 31. References to fiscal year 2022, for example, refer to the fiscal year ended December 31, 2022.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(“GAAP”). The accompanying consolidated financial statements include the accounts of PubMatic, Inc. and its wholly-owned subsidiaries. All intercompany accounts and transactions have been eliminated in consolidation. Certain prior period amounts reported in our consolidated financial statements and notes thereto have been reclassified to conform to the current period presentation.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items subject to such estimates include: revenue recognition criteria, including the determination of revenue reporting as net versus gross in the Company’s revenue arrangements, internal use software development costs, stock-based compensation, acquisition-related intangible assets, and income taxes, including the valuation reserve on deferred tax assets. The Company evaluates its estimates and assumptions on an ongoing basis using historical experience and other factors and adjusts those estimates and assumptions when facts and circumstances dictate. Actual results could materially differ from those estimates and assumptions.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Due to the inherent uncertainty involved in making assumptions and estimates, events and changes in circumstances arising after December 31, 2022, including those resulting from the impacts of the COVID-19 pandemic and macroeconomic factors, may result in actual outcomes that differ from those contemplated by the Company’s assumptions and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and cash equivalents, marketable securities, and accounts receivable. The Company maintains its cash and cash equivalents with financial institutions in amounts which exceed Federal Deposit Insurance Corporation limits.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investment policy limits investments to certain types of securities issued by the U.S. government and its agencies and institutions with investment-grade credit ratings and places restrictions on maturities and concentration by type and issuer. The primary objective of its investment activities is to preserve principal while maximizing income without significantly increasing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considers all highly liquid investments with an original maturity at the date of purchase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classifies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twelve months, as current assets in the consolidated balance sheets. These marketable securities are carried at fair value and unrealized gains and losses are recorded in other comprehensive income, which is reflected as a component of stockholders’ equity. These marketable securities are assessed as to whether those with unrealized loss positions are other than temporarily impaired. The Company considers impairments to be other than temporary if they are related to deterioration in credit risk or if it is likely the securities will be sold before the recovery of their cost basis. Realized gains and losses from the sale of marketable securities and declines in value deemed to be other than temporary are determined based on the specific identification method. Realized gains and losses, and any expected credit losses, are reported in other income (expense), net in the consolidated statements of operations and comprehensive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instruments consist of cash equivalents, marketable securities, non-marketable equity investment, accounts receivable, accounts payable, and accrued liabilities. Cash equivalents and marketable securities are remeasured at fair value at the end of every period. Non-marketable equity investment is remeasured at fair value when there has been an observable price change from an orderly transaction for identical or similar investments of the same issuer. Accounts receivable, accounts payable and accrued liabilities are stated at their carrying value, which approximates fair value due to the short time to the expected receipt or payment.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The Company reviews the allowance for credit losses on a quarterly basis. Account balances are written off against the allowance when the Company believes it is probable the receivable will not be recovered.</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changes in the allowance for credit losses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 beginning balance</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Provision</w:t>
            </w:r>
          </w:p>
        </w:tc>
        <w:tc>
          <w:tcPr>
            <w:tcW w:w="9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Write-offs</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64"/>
        </w:trPr>
        <w:tc>
          <w:tcPr>
            <w:tcW w:w="6600" w:type="dxa"/>
            <w:vAlign w:val="bottom"/>
          </w:tcPr>
          <w:p>
            <w:pPr>
              <w:ind w:left="20"/>
              <w:spacing w:after="0"/>
              <w:rPr>
                <w:sz w:val="20"/>
                <w:szCs w:val="20"/>
                <w:color w:val="auto"/>
              </w:rPr>
            </w:pPr>
            <w:r>
              <w:rPr>
                <w:rFonts w:ascii="Arial" w:cs="Arial" w:eastAsia="Arial" w:hAnsi="Arial"/>
                <w:sz w:val="18"/>
                <w:szCs w:val="18"/>
                <w:color w:val="auto"/>
              </w:rPr>
              <w:t>Allowance for credit losses, ending balance</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1,765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w:t>
            </w: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Property and equipment, including leasehold improvements, are stated at cost, less accumulated depreciation and amortization. Depreciation is computed using the straight-line method over the estimated useful lives of the related assets, generally three years. Leasehold improvements are amortized on a straight-line basis over the shorter of the estimated useful lives of the assets or the remaining lease term.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capitalizes certain internal use software development costs associated with creating and enhancing internal use software related to its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criteria for capitalization are expensed as incurred and recorded in technology and development expenses in the consolidated statements of operations and comprehensive income.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Software development activities generally consist of three stages, (i) the planning stage, (ii) the application and infrastructure development stage, and</w:t>
      </w:r>
    </w:p>
    <w:p>
      <w:pPr>
        <w:spacing w:after="0" w:line="46" w:lineRule="exact"/>
        <w:rPr>
          <w:sz w:val="20"/>
          <w:szCs w:val="20"/>
          <w:color w:val="auto"/>
        </w:rPr>
      </w:pPr>
    </w:p>
    <w:p>
      <w:pPr>
        <w:ind w:right="20" w:firstLine="8"/>
        <w:spacing w:after="0" w:line="260" w:lineRule="auto"/>
        <w:tabs>
          <w:tab w:leader="none" w:pos="31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post implementation stage. Costs incurred in the planning and post implementation stages of software development, including costs associated with the post configuration training and repairs and maintenance of the developed technologies, are expensed as incurred.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capitalizes costs associated with software developed for internal use when both the preliminary project stage is completed and management has authorized further funding for the completion of the project.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two to five years, commencing when the software is ready for its intended use.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determine if an arrangement is a lease at inception. The Company’s leases may include a non-lease component representing additional services transferred to the Company, such as common area maintenance for real estate. The Company accounts for each separate lease component and the non-lease components associated with that lease component as a single lease component. As such, minimum lease payments include fixed payments for non-lease components within a lease agreement but exclude variable lease payments not dependent on an index or rate, such as common area maintenance, operating expenses, utilities, or other costs that are subject to fluctuation from period to period. Non-lease components that are variable in nature are recorded as variable lease expense in the period incurred.</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made an accounting policy election under Topic 842 not to recognize right-of-use (ROU) assets and lease liabilities for leases with a term of twelve months or less. For all other leases, the Company recognizes ROU assets and lease liabilities based on the present value of lease payments over the lease term at the commencement date of the lease. The ROU assets also include any initial direct costs incurred and lease payments made at or before the commencement date and are reduced by any lease incentives.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lease assets and liabilities are included on our consolidated balance sheets. Finance lease assets are included in property, equipment and software, net. Finance lease liabilities are included in accrued liabilities or other liabilities, non-current.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continually monitors events and changes in circumstances that could indicate that carrying amounts of its long-lived assets, including property and equipment and intangible assets may not be recoverable. When such events or changes in circumstances occur, the Company assesses the recoverability of long-lived assets by determining whether the carrying value of such assets will be recovered through their undiscounted expected future cash flows. If the future undiscounted cash flows are less than the carrying value of these assets, the Company recognizes an impairment loss based on the excess of the carrying value over the fair value of the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allocates the purchase consideration for acquired companies to tangible and intangible assets acquired and liabilities assumed based on their estimated fair values as of the acquisition date, with the excess recorded to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consolidated statements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Intangible Assets and Goodwill</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Acquisition-related intangible assets with finite lives are amortized over their estimated useful lives on a straight-line basis. Goodwill amounts are not amortized. Acquisition-related intangible assets and goodwill are tested for impairment at least annually or more frequently if events or changes in circumstances indicate that the acquisition-related intangible assets or goodwill may be impaired.</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has not recorded any acquisition-related intangible assets or goodwill impairment to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Equity Investment</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Prior to December 2021, the Company measured its equity investment in a privately held company in which the Company did not own a controlling interest or exercise significant influence using the measurement alternative for equity securities without a readily determinable fair value. Under the measurement alternative, the carrying value is measured at cost, less any impairment, plus or minus changes resulting from observable price changes in orderly transactions for identical or similar investments of the same issuer. During December 2021, an observable transaction occurred for the Company’s equity investment wherein the privately held company merged with a publicly held company whose shares of common stock were publicly quoted in the Over-the-Counter (“OTC”) market. Therefore, the equity investment had a readily determinable fair value as of December 31, 2021 and was subsequently measured at fair value in the Company’s consolidated balance sheets with unrealized gains and losses included in other income (expense), net in the Company’s consolidated statements of operations. However, during September 2022, the Company concluded there was no longer a readily determinable fair value for its equity investment because the shares were no longer publicly quoted pursuant to U.S. Securities and Exchange Commission (“SEC”) Rule 15c2-11. The Company evaluated the measurement guidance for equity securities without a readily determinable fair value and performed a qualitative assessment of various impairment indicators and concluded the equity investment was fully impaired as of September 30, 2022 and December 31, 2022. As a result, the Company recognized an impairment loss equal to the difference between the fair value of the investment and its carrying amount. An impairment charge of $5.9 million was recorded within other income (expense), net in the Company’s consolidated statements of operations for the year ended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recognizes revenue through the following steps:</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a contract with a customer;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of revenue when or as the performance obligations are satisfied.</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refers to its publishers, app developers, and channel partners collectively as its publishers. The Company generates revenue through the monetization of publisher ad impressions on its platform. The Company’s platform allows publishers to sell, in real time, ad impressions to buyers and provides automated inventory management and monetization tools to publishers across various device types and digital ad formats. The Company charges publishers a fee, which is typically a percentage of the value of the ad impressions monetized through the Company’s platform.</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maintains agreements with each publisher and buyer in the form of written service agreements, which set out the terms of the relationship, including payment terms (typically ninety days or less) and access to its platform.</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invoices buyers for publisher digital advertising inventory purchased through its platform. The Company recognizes revenue when a bid is won and a buyer purchases inventory on its platform. The Company estimates and records reductions to revenue for rebates related to supply path optimization agreements based on expected volumes during the incentive term.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determination as to whether revenue should be reported gross of amounts billed to buyers (gross basis) or net of payments to publishers (net basis) requires significant judgment, and is based on the Company’s assessment of whether it is acting as the principal or an agent in the transaction. The Company has determined that it does not act as the principal in the purchase and sale of digital advertising inventory because it does not control the advertising inventory and it does not set the price which is the result of an auction within the marketplace. Based on these and other factors, the Company reports revenue on a net basis.</w:t>
      </w:r>
    </w:p>
    <w:p>
      <w:pPr>
        <w:spacing w:after="0" w:line="8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 generally invoices buyers at the end of each month for the full purchase price of ad impressions monetized in that month. Accounts receivable are recorded at the amount of gross billings for the amounts the Company is responsible to collect, and accounts payable are recorded at the net amount payable to publishers. Accordingly, both accounts receivable and accounts payable appear large in relation to revenue reported on a net basis.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Cost of revenue consists primarily of data center co-location costs, depreciation expense related to hardware supporting the Company’s platform, amortization expense related to capitalized internal use software development costs, personnel costs, and allocated facilities costs. Personnel costs include salaries, bonuses, stock-based compensation, and employee benefit costs, and are primarily attributable to the Company’s network operations group which maintains the Company’s servers and the Company’s client operations group, which is responsible for integration of new publishers and buyers and providing customer support for existing customers.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Development Costs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Technology and development expenses consist primarily of personnel costs, including salaries, bonuses, stock-based compensation, and employee benefits costs, allocated facilities costs, and professional services.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meets the criteria for capitalization. The Company amortizes internal use software development costs that relate to its revenue producing activities on its platform to cost of revenue.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costs are expensed as incurred and are included in sales and marketing expenses. The Company’s advertising costs recorded during the years ended December 31, 2022, 2021 and 2020 were $0.3 million, $0.5 million and $0.5 million,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Stock-based compensation expense related to stock awards, including stock options, restricted stock units (“RSUs”), and the employee stock purchase plan (the “ESPP”), is measured based on the fair value of the awards granted and recognized as an expense on a straight-line basis over the requisite service period.</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 of each option and ESPP award is estimated on the grant date using the Black-Scholes option pricing model. The Black-Scholes option pricing model requires the input of highly subjective assumptions, including the fair value of the underlying common stock, the expected term of the award, the expected volatility of the price of our common stock, risk-free interest rates, and the expected dividend yield of our common stock.</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each RSU award is based on the fair value of the underlying common stock as of the grant date.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assumptions used to determine the fair value of the stock awards represent management’s best estimates. These estimates involve inherent uncertainties and the application of management’s judgment. The Company accounts for forfeitures as they occur instead of estimating the number of awards expected to be forfeited. For additional information regarding stock-based compensation and the assumptions used for determining the fair value of stock options and ESPP awards, refer to Note 10—Stockholders’ Equity and 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functional currency of the Company’s foreign subsidiaries is the U.S. dollar. Accordingly, all monetary assets and liabilities of these subsidiaries are remeasured at the current exchange rate at each balance sheet date, nonmonetary assets and liabilities are measured at historical rates, and revenue and expenses are remeasured at average exchange rates during the period. Transaction gains and losses are included in other income (expense), net in the accompanying consolidated statements of operations. The Company’s net foreign currency gain (losses) recorded during the years ended December 31, 2022, 2021 and 2020 were $(0.7) million, $(0.1) million, and $0.6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utilizes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when necessary to reduce deferred tax assets to the amount expected to be realized.</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related to income tax matters as income tax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segments are components of an enterprise for which separate financial information is available and is evaluated regularly by the Company’s chief operating decision maker in deciding how to allocate resources and assessing performance. The Company’s chief operating decision maker is its Chief Executive Officer.</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Chief Executive Officer reviews financial information presented on a consolidated basis, for purposes of allocating resources and evaluating financial performance. The Company has one business activity and there are no segment managers accountable for operations, operating results beyond revenue or gross profit, or plans for levels or components below the consolidated unit level. Accordingly, the Company has one single reporting segment.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 and Accounts Receivable</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defines its revenue concentration based on revenue recognized from individual publishers. For the years ended December 31, 2022, 2021 and 2020, one publisher represented 13%, 17% and 20% respectively, of the Company’s revenue. As of December 31, 2022, three buyers accounted for 33%, 15%, and 11%, respectively, of accounts receivable. As of December 31, 2021, two buyers accounted for 29% and 19%, respectively, of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Share Attributable to Common Stockholders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Basic and diluted net income per share attributable to Class A and Class B common stock is computed in conformity with the two-class method required for participating securities. The Company applies the two-class method to allocate earnings between common and other participating securities based on their participation rights. Prior to the conversion of preferred stock to common stock concurrent with the Company’s IPO in December 2020 and because the holders of the Company’s convertible preferred stock were entitled to participate in dividends, the Company allocated net income to common and preferred stock based on their respective rights to receive dividends, whether or not declared.</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October 2021, the Financial Accounting Standards Board (“FASB”) issued Accounting Standards Update (“ASU”) No. 2021-08, Business Combinations (Topic 805): Accounting for Contract Assets and Contract Liabilities from Contracts with Customers, which requires contract assets and contract liabilities acquired in a business combination to be recognized and measured in accordance with Topic 606, Revenue from Contracts with Customers, as if the acquirer had originated the contracts. Under current GAAP, such assets and liabilities are recognized by the acquirer at fair value on the acquisition date. ASU 2021-08 is effective for the Company for interim and annual periods beginning after December 15, 2022 on a prospective basis, with early adoption permitted. The Company expects to adopt ASU 2021-08 in the first quarter of fiscal 2023. The Company does not expect the adoption of this guidance to have a material impact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represents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spacing w:after="0" w:line="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and liabilities measured on a recurring basis by level within the fair value hierarchy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December 31, 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5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39"/>
        </w:trPr>
        <w:tc>
          <w:tcPr>
            <w:tcW w:w="5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48,884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48,884</w:t>
            </w: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4,169</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4,169</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53,053</w:t>
            </w:r>
          </w:p>
        </w:tc>
      </w:tr>
      <w:tr>
        <w:trPr>
          <w:trHeight w:val="27"/>
        </w:trPr>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63,483</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63,483</w:t>
            </w: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Agency debt securities</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5,778</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5,778</w:t>
            </w: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82,013</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82,013</w:t>
            </w:r>
          </w:p>
        </w:tc>
      </w:tr>
      <w:tr>
        <w:trPr>
          <w:trHeight w:val="27"/>
        </w:trPr>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3"/>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86,182</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135,066</w:t>
            </w: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4"/>
        </w:trPr>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December 31, 2021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
        </w:trPr>
        <w:tc>
          <w:tcPr>
            <w:tcW w:w="50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100" w:type="dxa"/>
            <w:vAlign w:val="bottom"/>
          </w:tcPr>
          <w:p>
            <w:pPr>
              <w:jc w:val="right"/>
              <w:ind w:right="56"/>
              <w:spacing w:after="0"/>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39"/>
        </w:trPr>
        <w:tc>
          <w:tcPr>
            <w:tcW w:w="5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65,311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65,311</w:t>
            </w: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71,253</w:t>
            </w:r>
          </w:p>
        </w:tc>
      </w:tr>
      <w:tr>
        <w:trPr>
          <w:trHeight w:val="27"/>
        </w:trPr>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r>
      <w:tr>
        <w:trPr>
          <w:trHeight w:val="243"/>
        </w:trPr>
        <w:tc>
          <w:tcPr>
            <w:tcW w:w="5060" w:type="dxa"/>
            <w:vAlign w:val="bottom"/>
          </w:tcPr>
          <w:p>
            <w:pPr>
              <w:ind w:left="240"/>
              <w:spacing w:after="0"/>
              <w:rPr>
                <w:sz w:val="20"/>
                <w:szCs w:val="20"/>
                <w:color w:val="auto"/>
              </w:rPr>
            </w:pPr>
            <w:r>
              <w:rPr>
                <w:rFonts w:ascii="Arial" w:cs="Arial" w:eastAsia="Arial" w:hAnsi="Arial"/>
                <w:sz w:val="18"/>
                <w:szCs w:val="18"/>
                <w:color w:val="auto"/>
              </w:rPr>
              <w:t>U.S. Treasury and government debt securities</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26,167</w:t>
            </w: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26,167</w:t>
            </w:r>
          </w:p>
        </w:tc>
      </w:tr>
      <w:tr>
        <w:trPr>
          <w:trHeight w:val="27"/>
        </w:trPr>
        <w:tc>
          <w:tcPr>
            <w:tcW w:w="5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77,121</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77,121</w:t>
            </w:r>
          </w:p>
        </w:tc>
      </w:tr>
      <w:tr>
        <w:trPr>
          <w:trHeight w:val="270"/>
        </w:trPr>
        <w:tc>
          <w:tcPr>
            <w:tcW w:w="5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 xml:space="preserve">Equity investment </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w:t>
            </w:r>
          </w:p>
        </w:tc>
      </w:tr>
      <w:tr>
        <w:trPr>
          <w:trHeight w:val="26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5,948</w:t>
            </w:r>
          </w:p>
        </w:tc>
      </w:tr>
      <w:tr>
        <w:trPr>
          <w:trHeight w:val="263"/>
        </w:trPr>
        <w:tc>
          <w:tcPr>
            <w:tcW w:w="506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71,259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83,063</w:t>
            </w: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154,322</w:t>
            </w:r>
          </w:p>
        </w:tc>
      </w:tr>
      <w:tr>
        <w:trPr>
          <w:trHeight w:val="21"/>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transfers between Level 1 and Level 2 fair value measurement categories during the years ended December 31, 2022 and 2021.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52" w:lineRule="exact"/>
        <w:rPr>
          <w:sz w:val="20"/>
          <w:szCs w:val="20"/>
          <w:color w:val="auto"/>
        </w:rPr>
      </w:pPr>
    </w:p>
    <w:p>
      <w:pPr>
        <w:ind w:left="660" w:right="140" w:hanging="328"/>
        <w:spacing w:after="0" w:line="293"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See Note 2 to the Company’s consolidated financial statements “Basis of Presentation and Summary of Significant Accounting Policies — Impairment of Equity Investment.”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marketable securities by significant investment categories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Arial" w:cs="Arial" w:eastAsia="Arial" w:hAnsi="Arial"/>
                <w:sz w:val="14"/>
                <w:szCs w:val="14"/>
                <w:b w:val="1"/>
                <w:bCs w:val="1"/>
                <w:color w:val="auto"/>
              </w:rPr>
              <w:t>December 31, 2022</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Loss</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63,483</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Agency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left="774"/>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5,779</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center"/>
              <w:ind w:left="874"/>
              <w:spacing w:after="0"/>
              <w:rPr>
                <w:sz w:val="20"/>
                <w:szCs w:val="20"/>
                <w:color w:val="auto"/>
              </w:rPr>
            </w:pPr>
            <w:r>
              <w:rPr>
                <w:rFonts w:ascii="Arial" w:cs="Arial" w:eastAsia="Arial" w:hAnsi="Arial"/>
                <w:sz w:val="18"/>
                <w:szCs w:val="18"/>
                <w:color w:val="auto"/>
                <w:w w:val="93"/>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12,751</w:t>
            </w:r>
          </w:p>
        </w:tc>
      </w:tr>
      <w:tr>
        <w:trPr>
          <w:trHeight w:val="263"/>
        </w:trPr>
        <w:tc>
          <w:tcPr>
            <w:tcW w:w="5040" w:type="dxa"/>
            <w:vAlign w:val="bottom"/>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82,022</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center"/>
              <w:ind w:left="874"/>
              <w:spacing w:after="0"/>
              <w:rPr>
                <w:sz w:val="20"/>
                <w:szCs w:val="20"/>
                <w:color w:val="auto"/>
              </w:rPr>
            </w:pPr>
            <w:r>
              <w:rPr>
                <w:rFonts w:ascii="Arial" w:cs="Arial" w:eastAsia="Arial" w:hAnsi="Arial"/>
                <w:sz w:val="18"/>
                <w:szCs w:val="18"/>
                <w:color w:val="auto"/>
                <w:w w:val="93"/>
              </w:rPr>
              <w:t>(28)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82,013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1"/>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80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4"/>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Gains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Loss</w:t>
            </w:r>
          </w:p>
        </w:tc>
        <w:tc>
          <w:tcPr>
            <w:tcW w:w="260" w:type="dxa"/>
            <w:vAlign w:val="bottom"/>
          </w:tcPr>
          <w:p>
            <w:pPr>
              <w:spacing w:after="0"/>
              <w:rPr>
                <w:sz w:val="16"/>
                <w:szCs w:val="16"/>
                <w:color w:val="auto"/>
              </w:rPr>
            </w:pP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Fair Value</w:t>
            </w:r>
          </w:p>
        </w:tc>
      </w:tr>
      <w:tr>
        <w:trPr>
          <w:trHeight w:val="39"/>
        </w:trPr>
        <w:tc>
          <w:tcPr>
            <w:tcW w:w="5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U.S. Treasury and government debt securities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26,203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center"/>
              <w:ind w:left="874"/>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26,167</w:t>
            </w:r>
          </w:p>
        </w:tc>
      </w:tr>
      <w:tr>
        <w:trPr>
          <w:trHeight w:val="27"/>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77,157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874"/>
              <w:spacing w:after="0"/>
              <w:rPr>
                <w:sz w:val="20"/>
                <w:szCs w:val="20"/>
                <w:color w:val="auto"/>
              </w:rPr>
            </w:pPr>
            <w:r>
              <w:rPr>
                <w:rFonts w:ascii="Arial" w:cs="Arial" w:eastAsia="Arial" w:hAnsi="Arial"/>
                <w:sz w:val="18"/>
                <w:szCs w:val="18"/>
                <w:color w:val="auto"/>
                <w:w w:val="93"/>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remaining contractual maturity of all marketable securities was within one year as of December 31, 2022 and 2021. Realized gains and losses were not material for the years ended December 31, 2022, 2021 and 2020. As of December 31, 2022 and 2021, there were no securities that were in an unrealized loss position for more than twelve months.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equipment and software, net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39"/>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Network hardware, computer equipment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129,212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92,561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equipment and software, gross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127,016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(104,963)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(76,876)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equipment and software,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50,140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expense related to property, equipment, and software (excluding amortization of internal use software) was $23.6 million, $15.7 million, and $9.8 million for the years ended December 31, 2022, 2021 and 2020, respectively.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capitalized $14.5 million, $10.3 million, and $7.3 million in software development costs during the years ended December 31, 2022, 2021 and 2020, respectively. Fully-amortized software development costs of $4.3 million have been removed from internal-use software and accumulated depreciation and amortization for the year ended December 31, 2022. Amortization expense of internal use software was $10.0 million, $7.4 million, and $5.9 million for the years ended December 31, 2022, 2021 and 2020, respectively. These costs are included within cost of revenue in the consolidated statements of operations.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did not recognize any impairment charges on its long-lived assets during the years ended December 31, 2022, 2021 and 2020 .</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5120" w:type="dxa"/>
            <w:vAlign w:val="bottom"/>
            <w:tcBorders>
              <w:bottom w:val="single" w:sz="8" w:color="CCEEFF"/>
            </w:tcBorders>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Payable to publishers</w:t>
            </w:r>
          </w:p>
        </w:tc>
        <w:tc>
          <w:tcPr>
            <w:tcW w:w="3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235,440</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Trade payables</w:t>
            </w:r>
          </w:p>
        </w:tc>
        <w:tc>
          <w:tcPr>
            <w:tcW w:w="3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8,881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accounts payable</w:t>
            </w:r>
          </w:p>
        </w:tc>
        <w:tc>
          <w:tcPr>
            <w:tcW w:w="3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277,414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244,321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3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2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Pr>
          <w:p>
            <w:pPr>
              <w:ind w:left="340"/>
              <w:spacing w:after="0"/>
              <w:rPr>
                <w:sz w:val="20"/>
                <w:szCs w:val="20"/>
                <w:color w:val="auto"/>
              </w:rPr>
            </w:pPr>
            <w:r>
              <w:rPr>
                <w:rFonts w:ascii="Arial" w:cs="Arial" w:eastAsia="Arial" w:hAnsi="Arial"/>
                <w:sz w:val="18"/>
                <w:szCs w:val="18"/>
                <w:color w:val="auto"/>
              </w:rPr>
              <w:t>Accrued liabilities consisted of the following (in thousands):</w:t>
            </w: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1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5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1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5120" w:type="dxa"/>
            <w:vAlign w:val="bottom"/>
            <w:tcBorders>
              <w:bottom w:val="single" w:sz="8" w:color="CCEEFF"/>
            </w:tcBorders>
          </w:tcPr>
          <w:p>
            <w:pPr>
              <w:spacing w:after="0"/>
              <w:rPr>
                <w:sz w:val="3"/>
                <w:szCs w:val="3"/>
                <w:color w:val="auto"/>
              </w:rPr>
            </w:pPr>
          </w:p>
        </w:tc>
        <w:tc>
          <w:tcPr>
            <w:tcW w:w="30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3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17,271</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3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accrued liabilities</w:t>
            </w:r>
          </w:p>
        </w:tc>
        <w:tc>
          <w:tcPr>
            <w:tcW w:w="3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78</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1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540"/>
        <w:spacing w:after="0" w:line="378" w:lineRule="auto"/>
        <w:rPr>
          <w:sz w:val="20"/>
          <w:szCs w:val="20"/>
          <w:color w:val="auto"/>
        </w:rPr>
      </w:pPr>
      <w:r>
        <w:rPr>
          <w:rFonts w:ascii="Arial" w:cs="Arial" w:eastAsia="Arial" w:hAnsi="Arial"/>
          <w:sz w:val="18"/>
          <w:szCs w:val="18"/>
          <w:b w:val="1"/>
          <w:bCs w:val="1"/>
          <w:color w:val="auto"/>
        </w:rPr>
        <w:t xml:space="preserve">Note 5 – Loan and Security Agreement and Senior Secured Credit Facilities Agreement </w:t>
      </w:r>
      <w:r>
        <w:rPr>
          <w:rFonts w:ascii="Arial" w:cs="Arial" w:eastAsia="Arial" w:hAnsi="Arial"/>
          <w:sz w:val="18"/>
          <w:szCs w:val="18"/>
          <w:b w:val="1"/>
          <w:bCs w:val="1"/>
          <w:i w:val="1"/>
          <w:iCs w:val="1"/>
          <w:color w:val="auto"/>
        </w:rPr>
        <w:t>Loan and Security Agreement</w:t>
      </w:r>
    </w:p>
    <w:p>
      <w:pPr>
        <w:jc w:val="both"/>
        <w:ind w:firstLine="324"/>
        <w:spacing w:after="0" w:line="255" w:lineRule="auto"/>
        <w:rPr>
          <w:sz w:val="20"/>
          <w:szCs w:val="20"/>
          <w:color w:val="auto"/>
        </w:rPr>
      </w:pPr>
      <w:r>
        <w:rPr>
          <w:rFonts w:ascii="Arial" w:cs="Arial" w:eastAsia="Arial" w:hAnsi="Arial"/>
          <w:sz w:val="18"/>
          <w:szCs w:val="18"/>
          <w:color w:val="auto"/>
        </w:rPr>
        <w:t>In June 2021, the Company amended and restated its loan and security agreement (the “Loan and Security Agreement”) with Silicon Valley Bank. The Loan and Security Agreement provided a senior secured revolving credit facility of up to $25.0 million or 80% of eligible accounts receivable less certain reserves, minus the aggregate principal amount of all outstanding advances. Interest accrued on advances under the revolving line of credit at a variable rate equal to the greater of prime rate or 3.25%. An unused revolver fee in the amount of 0.40% per annum of the average unused portion of the revolver line was charged and was payable quarterly in arrears in any quarter where the average closing outstanding balance was less than $5.0 million. The maturity date of the revolving line of credit was June 6, 2024.</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described further below, on October 17, 2022, the Company entered into a Senior Secured Credit Facilities Credit Agreement. In connection with the entry into the Senior Secured Credit Facilities Credit Agreement, the Company’s existing Loan and Security Agreement, as amended, was terminated. There were no outstanding advances under the Loan and Security Agreement upon its termination.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 Agreement</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October 17, 2022, the Company entered into a Senior Secured Credit Facilities Credit Agreement (the “Credit Agreement”) with the several lenders parties thereto (the “Lenders”), and Silicon Valley Bank (“SVB”), as administrative agent, lead arranger, issuing lender, and swingline lender.</w:t>
      </w:r>
    </w:p>
    <w:p>
      <w:pPr>
        <w:spacing w:after="0" w:line="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9)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The Credit Agreement matures on October 17, 2027.</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The Company was in compliance with these covenants as of December 31, 2022.</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may use amounts borrowed under the Credit Agreement to refinance the Existing Credit Agreement, for general corporate purposes or working capital financing. The Company may borrow additional amounts under the Credit Agreement from time to time as opportunities and needs arise.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leases office facilities from unrelated parties under operating lease agreements that have initial terms ranging from 2 to 10 years. Included in an office lease the Company also leases furniture and fixtures under a finance lease with a seven year term with a purchase option at the end of the term.</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allocation of lease payments was determined based on the relative standalone price of the separate office and furniture components. Some leases include one or more options to renew, generally at our sole discretion, with renewal terms that can extend the lease term up to 5 additional years. In addition, certain leases contain termination options, where the rights to terminate are held by either the Company, the lessor, or both parties. These options to extend or terminate a lease are not included in the lease terms as the Company is not reasonably certain that they will exercise that option. The Company’s leases generally do not contain any material restrictive covenants.</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consolidated financial statements.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cost were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2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6"/>
                <w:szCs w:val="16"/>
                <w:color w:val="auto"/>
              </w:rPr>
            </w:pPr>
          </w:p>
        </w:tc>
      </w:tr>
      <w:tr>
        <w:trPr>
          <w:trHeight w:val="39"/>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6,876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2,104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Finance lease cost - amortization of right-of-use assets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cost - interest on lease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818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7,068</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2,120</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109"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40640</wp:posOffset>
            </wp:positionV>
            <wp:extent cx="19456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2" w:lineRule="exact"/>
        <w:rPr>
          <w:sz w:val="20"/>
          <w:szCs w:val="20"/>
          <w:color w:val="auto"/>
        </w:rPr>
      </w:pPr>
    </w:p>
    <w:p>
      <w:pPr>
        <w:ind w:left="8780"/>
        <w:spacing w:after="0"/>
        <w:tabs>
          <w:tab w:leader="none" w:pos="103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p>
      <w:pPr>
        <w:spacing w:after="0" w:line="63" w:lineRule="exact"/>
        <w:rPr>
          <w:sz w:val="20"/>
          <w:szCs w:val="20"/>
          <w:color w:val="auto"/>
        </w:rPr>
      </w:pPr>
    </w:p>
    <w:p>
      <w:pPr>
        <w:ind w:left="240"/>
        <w:spacing w:after="0"/>
        <w:tabs>
          <w:tab w:leader="none" w:pos="8180" w:val="left"/>
          <w:tab w:leader="none" w:pos="9160" w:val="left"/>
          <w:tab w:leader="none" w:pos="9760" w:val="left"/>
          <w:tab w:leader="none" w:pos="10740" w:val="left"/>
        </w:tabs>
        <w:rPr>
          <w:sz w:val="20"/>
          <w:szCs w:val="20"/>
          <w:color w:val="auto"/>
        </w:rPr>
      </w:pPr>
      <w:r>
        <w:rPr>
          <w:rFonts w:ascii="Arial" w:cs="Arial" w:eastAsia="Arial" w:hAnsi="Arial"/>
          <w:sz w:val="18"/>
          <w:szCs w:val="18"/>
          <w:color w:val="auto"/>
        </w:rPr>
        <w:t>Operating cash outflows - payments on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5,015</w:t>
        <w:tab/>
        <w:t>$</w:t>
      </w:r>
      <w:r>
        <w:rPr>
          <w:sz w:val="20"/>
          <w:szCs w:val="20"/>
          <w:color w:val="auto"/>
        </w:rPr>
        <w:tab/>
      </w:r>
      <w:r>
        <w:rPr>
          <w:rFonts w:ascii="Arial" w:cs="Arial" w:eastAsia="Arial" w:hAnsi="Arial"/>
          <w:sz w:val="15"/>
          <w:szCs w:val="15"/>
          <w:color w:val="auto"/>
        </w:rPr>
        <w:t>2,283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Right-of-use assets obtained in exchange for new lease obligations: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52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10,424</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20,887</w:t>
            </w:r>
          </w:p>
        </w:tc>
      </w:tr>
      <w:tr>
        <w:trPr>
          <w:trHeight w:val="27"/>
        </w:trPr>
        <w:tc>
          <w:tcPr>
            <w:tcW w:w="34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52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891"/>
        </w:trPr>
        <w:tc>
          <w:tcPr>
            <w:tcW w:w="3480" w:type="dxa"/>
            <w:vAlign w:val="bottom"/>
          </w:tcPr>
          <w:p>
            <w:pPr>
              <w:spacing w:after="0"/>
              <w:rPr>
                <w:sz w:val="24"/>
                <w:szCs w:val="24"/>
                <w:color w:val="auto"/>
              </w:rPr>
            </w:pPr>
          </w:p>
        </w:tc>
        <w:tc>
          <w:tcPr>
            <w:tcW w:w="5200" w:type="dxa"/>
            <w:vAlign w:val="bottom"/>
          </w:tcPr>
          <w:p>
            <w:pPr>
              <w:jc w:val="right"/>
              <w:ind w:right="2870"/>
              <w:spacing w:after="0"/>
              <w:rPr>
                <w:sz w:val="20"/>
                <w:szCs w:val="20"/>
                <w:color w:val="auto"/>
              </w:rPr>
            </w:pPr>
            <w:r>
              <w:rPr>
                <w:rFonts w:ascii="Arial" w:cs="Arial" w:eastAsia="Arial" w:hAnsi="Arial"/>
                <w:sz w:val="18"/>
                <w:szCs w:val="18"/>
                <w:color w:val="auto"/>
              </w:rPr>
              <w:t>80</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81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26,206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 liabilities, current</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20,915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17,842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lease liabilities</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26,591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Finance leases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Furniture and fixtures</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Arial" w:cs="Arial" w:eastAsia="Arial" w:hAnsi="Arial"/>
                <w:sz w:val="18"/>
                <w:szCs w:val="18"/>
                <w:color w:val="auto"/>
              </w:rPr>
              <w:t>Accumulated depreciation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Furniture and fixtures, net</w:t>
            </w:r>
          </w:p>
        </w:tc>
        <w:tc>
          <w:tcPr>
            <w:tcW w:w="900" w:type="dxa"/>
            <w:vAlign w:val="bottom"/>
            <w:tcBorders>
              <w:bottom w:val="single" w:sz="8" w:color="auto"/>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liabilities, non-current</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63"/>
        </w:trPr>
        <w:tc>
          <w:tcPr>
            <w:tcW w:w="8180" w:type="dxa"/>
            <w:vAlign w:val="bottom"/>
          </w:tcPr>
          <w:p>
            <w:pPr>
              <w:ind w:left="440"/>
              <w:spacing w:after="0"/>
              <w:rPr>
                <w:sz w:val="20"/>
                <w:szCs w:val="20"/>
                <w:color w:val="auto"/>
              </w:rPr>
            </w:pPr>
            <w:r>
              <w:rPr>
                <w:rFonts w:ascii="Arial" w:cs="Arial" w:eastAsia="Arial" w:hAnsi="Arial"/>
                <w:sz w:val="18"/>
                <w:szCs w:val="18"/>
                <w:color w:val="auto"/>
              </w:rPr>
              <w:t>Total finance lease liabilities</w:t>
            </w:r>
          </w:p>
        </w:tc>
        <w:tc>
          <w:tcPr>
            <w:tcW w:w="90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was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200" w:type="dxa"/>
            <w:vAlign w:val="bottom"/>
            <w:gridSpan w:val="3"/>
          </w:tcPr>
          <w:p>
            <w:pPr>
              <w:ind w:left="122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Pr>
          <w:p>
            <w:pPr>
              <w:spacing w:after="0"/>
              <w:rPr>
                <w:sz w:val="16"/>
                <w:szCs w:val="16"/>
                <w:color w:val="auto"/>
              </w:rPr>
            </w:pPr>
          </w:p>
        </w:tc>
      </w:tr>
      <w:tr>
        <w:trPr>
          <w:trHeight w:val="39"/>
        </w:trPr>
        <w:tc>
          <w:tcPr>
            <w:tcW w:w="794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4"/>
        </w:trPr>
        <w:tc>
          <w:tcPr>
            <w:tcW w:w="794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39"/>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w:t>
            </w: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200" w:type="dxa"/>
            <w:vAlign w:val="bottom"/>
            <w:gridSpan w:val="3"/>
          </w:tcPr>
          <w:p>
            <w:pPr>
              <w:jc w:val="right"/>
              <w:ind w:right="620"/>
              <w:spacing w:after="0"/>
              <w:rPr>
                <w:sz w:val="20"/>
                <w:szCs w:val="20"/>
                <w:color w:val="auto"/>
              </w:rPr>
            </w:pPr>
            <w:r>
              <w:rPr>
                <w:rFonts w:ascii="Arial" w:cs="Arial" w:eastAsia="Arial" w:hAnsi="Arial"/>
                <w:sz w:val="18"/>
                <w:szCs w:val="18"/>
                <w:color w:val="auto"/>
              </w:rPr>
              <w:t>4.6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6.0 years</w:t>
            </w: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2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5.3 years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years</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2.20 %</w:t>
            </w: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600" w:type="dxa"/>
            <w:vAlign w:val="bottom"/>
          </w:tcPr>
          <w:p>
            <w:pPr>
              <w:jc w:val="right"/>
              <w:spacing w:after="0"/>
              <w:rPr>
                <w:sz w:val="20"/>
                <w:szCs w:val="20"/>
                <w:color w:val="auto"/>
              </w:rPr>
            </w:pPr>
            <w:r>
              <w:rPr>
                <w:rFonts w:ascii="Arial" w:cs="Arial" w:eastAsia="Arial" w:hAnsi="Arial"/>
                <w:sz w:val="18"/>
                <w:szCs w:val="18"/>
                <w:color w:val="auto"/>
              </w:rPr>
              <w:t>2.24 %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2.24 %</w:t>
            </w: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the maturities of lease liabilities under operating and finance leases were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Finance Leases</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39"/>
        </w:trPr>
        <w:tc>
          <w:tcPr>
            <w:tcW w:w="6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6,580</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5,278</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4,414</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r>
      <w:tr>
        <w:trPr>
          <w:trHeight w:val="237"/>
        </w:trPr>
        <w:tc>
          <w:tcPr>
            <w:tcW w:w="660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29,437</w:t>
            </w:r>
          </w:p>
        </w:tc>
      </w:tr>
      <w:tr>
        <w:trPr>
          <w:trHeight w:val="27"/>
        </w:trPr>
        <w:tc>
          <w:tcPr>
            <w:tcW w:w="6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63"/>
        </w:trPr>
        <w:tc>
          <w:tcPr>
            <w:tcW w:w="6600" w:type="dxa"/>
            <w:vAlign w:val="bottom"/>
          </w:tcPr>
          <w:p>
            <w:pPr>
              <w:ind w:left="240"/>
              <w:spacing w:after="0"/>
              <w:rPr>
                <w:sz w:val="20"/>
                <w:szCs w:val="20"/>
                <w:color w:val="auto"/>
              </w:rPr>
            </w:pPr>
            <w:r>
              <w:rPr>
                <w:rFonts w:ascii="Arial" w:cs="Arial" w:eastAsia="Arial" w:hAnsi="Arial"/>
                <w:sz w:val="18"/>
                <w:szCs w:val="18"/>
                <w:color w:val="auto"/>
              </w:rPr>
              <w:t>Total present value of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27,332</w:t>
            </w:r>
          </w:p>
        </w:tc>
      </w:tr>
      <w:tr>
        <w:trPr>
          <w:trHeight w:val="20"/>
        </w:trPr>
        <w:tc>
          <w:tcPr>
            <w:tcW w:w="6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Business Combination</w:t>
      </w:r>
    </w:p>
    <w:p>
      <w:pPr>
        <w:spacing w:after="0" w:line="12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September 16, 2022, the Company acquired all outstanding stock of ConsultMates, Inc. (dba “Martin”), a media measurement and reporting platform, for $30.8 million. The acquisition is in response to growing demand from the Company’s buy-side customers for enhanced tools to take advantage of the Company’s global omnichannel inventory, including market-leading addressability solutions and innovative technology to enable supply path optimization. The assets acquired and liabilities assumed were recorded at fair value. The purchase price excludes $14.2 million of post-acquisition cash compensation arrangements for certain key acquired employees to be paid ratably over three years following the closing of the acquisition (subject to forfeiture upon termination). The purchase price was preliminarily attributed to $7.9 million of developed technology intangible assets (to be amortized over an estimated useful life of five years), $1.0 million of customer relationship intangible assets (to be amortized over an estimated useful life of two years), $23.3 million of goodwill, $1.1 million of deferred tax liabilities, and $0.3 million of net liabilities assumed. The fair value of the acquired developed technology intangible asset was estimated using the excess earnings method. This valuation methodology included an analysis of future class flows expected to be generated by the developed technology intangible asset. The fair values of assets acquired and liabilities assumed may change over the measurement period as additional information is received. The measurement period will end no later than one year from the acquisition date. The goodwill recognized was primarily attributable to the assembled workforce and the expected synergies from integrating Martin’s technology into the Company’s platform. Goodwill is not expected to be deductible for tax purposes. The financial results of Martin are included in the Company’s consolidated financial statements from the date of acquisition. Separate operating results and pro forma results of operations for Martin have not been presented as the effect of this acquisition was not material to the Company’s financial results. Acquisition-related costs were $0.9 million and are included in general and administrative expenses in the consolidated statements of operations for the year ended December 31,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Acquisition-related 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amounts of goodwill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 and 2021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ConsultMates, Inc. (Note 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23,327</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Intangible Assets, Net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Acquisition-related intangible assets, net consisted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December 31, 2022</w:t>
            </w:r>
          </w:p>
        </w:tc>
        <w:tc>
          <w:tcPr>
            <w:tcW w:w="7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9"/>
        </w:trPr>
        <w:tc>
          <w:tcPr>
            <w:tcW w:w="53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60"/>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5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157"/>
              <w:spacing w:after="0"/>
              <w:rPr>
                <w:sz w:val="20"/>
                <w:szCs w:val="20"/>
                <w:color w:val="auto"/>
              </w:rPr>
            </w:pPr>
            <w:r>
              <w:rPr>
                <w:rFonts w:ascii="Arial" w:cs="Arial" w:eastAsia="Arial" w:hAnsi="Arial"/>
                <w:sz w:val="14"/>
                <w:szCs w:val="14"/>
                <w:b w:val="1"/>
                <w:bCs w:val="1"/>
                <w:color w:val="auto"/>
              </w:rPr>
              <w:t>Gross Carrying</w:t>
            </w:r>
          </w:p>
        </w:tc>
        <w:tc>
          <w:tcPr>
            <w:tcW w:w="240" w:type="dxa"/>
            <w:vAlign w:val="bottom"/>
          </w:tcPr>
          <w:p>
            <w:pPr>
              <w:spacing w:after="0"/>
              <w:rPr>
                <w:sz w:val="14"/>
                <w:szCs w:val="14"/>
                <w:color w:val="auto"/>
              </w:rPr>
            </w:pPr>
          </w:p>
        </w:tc>
        <w:tc>
          <w:tcPr>
            <w:tcW w:w="1240" w:type="dxa"/>
            <w:vAlign w:val="bottom"/>
          </w:tcPr>
          <w:p>
            <w:pPr>
              <w:jc w:val="right"/>
              <w:ind w:right="219"/>
              <w:spacing w:after="0"/>
              <w:rPr>
                <w:sz w:val="20"/>
                <w:szCs w:val="20"/>
                <w:color w:val="auto"/>
              </w:rPr>
            </w:pPr>
            <w:r>
              <w:rPr>
                <w:rFonts w:ascii="Arial" w:cs="Arial" w:eastAsia="Arial" w:hAnsi="Arial"/>
                <w:sz w:val="14"/>
                <w:szCs w:val="14"/>
                <w:b w:val="1"/>
                <w:bCs w:val="1"/>
                <w:color w:val="auto"/>
              </w:rPr>
              <w:t>Accumulated</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Useful Life</w:t>
            </w:r>
          </w:p>
        </w:tc>
      </w:tr>
      <w:tr>
        <w:trPr>
          <w:trHeight w:val="200"/>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377"/>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7"/>
                <w:szCs w:val="17"/>
                <w:color w:val="auto"/>
              </w:rPr>
            </w:pPr>
          </w:p>
        </w:tc>
        <w:tc>
          <w:tcPr>
            <w:tcW w:w="1240" w:type="dxa"/>
            <w:vAlign w:val="bottom"/>
          </w:tcPr>
          <w:p>
            <w:pPr>
              <w:jc w:val="right"/>
              <w:ind w:right="219"/>
              <w:spacing w:after="0"/>
              <w:rPr>
                <w:sz w:val="20"/>
                <w:szCs w:val="20"/>
                <w:color w:val="auto"/>
              </w:rPr>
            </w:pPr>
            <w:r>
              <w:rPr>
                <w:rFonts w:ascii="Arial" w:cs="Arial" w:eastAsia="Arial" w:hAnsi="Arial"/>
                <w:sz w:val="14"/>
                <w:szCs w:val="14"/>
                <w:b w:val="1"/>
                <w:bCs w:val="1"/>
                <w:color w:val="auto"/>
              </w:rPr>
              <w:t>Amortization</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Carrying Amount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39"/>
        </w:trPr>
        <w:tc>
          <w:tcPr>
            <w:tcW w:w="53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20" w:type="dxa"/>
            <w:vAlign w:val="bottom"/>
            <w:tcBorders>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c>
          <w:tcPr>
            <w:tcW w:w="8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855</w:t>
            </w:r>
          </w:p>
        </w:tc>
        <w:tc>
          <w:tcPr>
            <w:tcW w:w="14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8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acquisition-related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20" w:type="dxa"/>
            <w:vAlign w:val="bottom"/>
            <w:tcBorders>
              <w:bottom w:val="single" w:sz="8" w:color="auto"/>
            </w:tcBorders>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related to acquisition-related intangibles was $0.6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2022, estimated future amortization expense for acquisition-related intangible assets was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60" w:type="dxa"/>
            <w:vAlign w:val="bottom"/>
            <w:shd w:val="clear" w:color="auto" w:fill="CCEEFF"/>
          </w:tcPr>
          <w:p>
            <w:pPr>
              <w:jc w:val="right"/>
              <w:ind w:right="9290"/>
              <w:spacing w:after="0"/>
              <w:rPr>
                <w:sz w:val="20"/>
                <w:szCs w:val="20"/>
                <w:color w:val="auto"/>
              </w:rPr>
            </w:pPr>
            <w:r>
              <w:rPr>
                <w:rFonts w:ascii="Arial" w:cs="Arial" w:eastAsia="Arial" w:hAnsi="Arial"/>
                <w:sz w:val="18"/>
                <w:szCs w:val="18"/>
                <w:color w:val="auto"/>
                <w:w w:val="89"/>
              </w:rPr>
              <w:t>2023</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43"/>
        </w:trPr>
        <w:tc>
          <w:tcPr>
            <w:tcW w:w="9760" w:type="dxa"/>
            <w:vAlign w:val="bottom"/>
          </w:tcPr>
          <w:p>
            <w:pPr>
              <w:jc w:val="right"/>
              <w:ind w:right="9290"/>
              <w:spacing w:after="0"/>
              <w:rPr>
                <w:sz w:val="20"/>
                <w:szCs w:val="20"/>
                <w:color w:val="auto"/>
              </w:rPr>
            </w:pPr>
            <w:r>
              <w:rPr>
                <w:rFonts w:ascii="Arial" w:cs="Arial" w:eastAsia="Arial" w:hAnsi="Arial"/>
                <w:sz w:val="18"/>
                <w:szCs w:val="18"/>
                <w:color w:val="auto"/>
                <w:w w:val="89"/>
              </w:rPr>
              <w:t>2024</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jc w:val="right"/>
              <w:ind w:right="9290"/>
              <w:spacing w:after="0"/>
              <w:rPr>
                <w:sz w:val="20"/>
                <w:szCs w:val="20"/>
                <w:color w:val="auto"/>
              </w:rPr>
            </w:pPr>
            <w:r>
              <w:rPr>
                <w:rFonts w:ascii="Arial" w:cs="Arial" w:eastAsia="Arial" w:hAnsi="Arial"/>
                <w:sz w:val="18"/>
                <w:szCs w:val="18"/>
                <w:color w:val="auto"/>
                <w:w w:val="89"/>
              </w:rPr>
              <w:t>2025</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43"/>
        </w:trPr>
        <w:tc>
          <w:tcPr>
            <w:tcW w:w="9760" w:type="dxa"/>
            <w:vAlign w:val="bottom"/>
          </w:tcPr>
          <w:p>
            <w:pPr>
              <w:jc w:val="right"/>
              <w:ind w:right="9290"/>
              <w:spacing w:after="0"/>
              <w:rPr>
                <w:sz w:val="20"/>
                <w:szCs w:val="20"/>
                <w:color w:val="auto"/>
              </w:rPr>
            </w:pPr>
            <w:r>
              <w:rPr>
                <w:rFonts w:ascii="Arial" w:cs="Arial" w:eastAsia="Arial" w:hAnsi="Arial"/>
                <w:sz w:val="18"/>
                <w:szCs w:val="18"/>
                <w:color w:val="auto"/>
                <w:w w:val="89"/>
              </w:rPr>
              <w:t>2026</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1,580</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jc w:val="right"/>
              <w:ind w:right="9290"/>
              <w:spacing w:after="0"/>
              <w:rPr>
                <w:sz w:val="20"/>
                <w:szCs w:val="20"/>
                <w:color w:val="auto"/>
              </w:rPr>
            </w:pPr>
            <w:r>
              <w:rPr>
                <w:rFonts w:ascii="Arial" w:cs="Arial" w:eastAsia="Arial" w:hAnsi="Arial"/>
                <w:sz w:val="18"/>
                <w:szCs w:val="18"/>
                <w:color w:val="auto"/>
                <w:w w:val="89"/>
              </w:rPr>
              <w:t>2027</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63"/>
        </w:trPr>
        <w:tc>
          <w:tcPr>
            <w:tcW w:w="9760" w:type="dxa"/>
            <w:vAlign w:val="bottom"/>
          </w:tcPr>
          <w:p>
            <w:pPr>
              <w:jc w:val="right"/>
              <w:ind w:right="3410"/>
              <w:spacing w:after="0"/>
              <w:rPr>
                <w:sz w:val="20"/>
                <w:szCs w:val="20"/>
                <w:color w:val="auto"/>
              </w:rPr>
            </w:pPr>
            <w:r>
              <w:rPr>
                <w:rFonts w:ascii="Arial" w:cs="Arial" w:eastAsia="Arial" w:hAnsi="Arial"/>
                <w:sz w:val="18"/>
                <w:szCs w:val="18"/>
                <w:color w:val="auto"/>
                <w:w w:val="93"/>
              </w:rPr>
              <w:t>Total estimated future amortization expense for acquisition-related intangible assets</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8,299</w:t>
            </w:r>
          </w:p>
        </w:tc>
      </w:tr>
      <w:tr>
        <w:trPr>
          <w:trHeight w:val="21"/>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purchase obligations primarily relate to minimum contractual payments due to data center providers.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future minimum commitments for purchase obligations with a remaining term in excess of one year were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760" w:type="dxa"/>
            <w:vAlign w:val="bottom"/>
          </w:tcPr>
          <w:p>
            <w:pPr>
              <w:ind w:left="20"/>
              <w:spacing w:after="0"/>
              <w:rPr>
                <w:sz w:val="20"/>
                <w:szCs w:val="20"/>
                <w:color w:val="auto"/>
              </w:rPr>
            </w:pPr>
            <w:r>
              <w:rPr>
                <w:rFonts w:ascii="Arial" w:cs="Arial" w:eastAsia="Arial" w:hAnsi="Arial"/>
                <w:sz w:val="16"/>
                <w:szCs w:val="16"/>
                <w:b w:val="1"/>
                <w:bCs w:val="1"/>
                <w:color w:val="auto"/>
              </w:rPr>
              <w:t>Years ending December 31,</w:t>
            </w: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19,698</w:t>
            </w:r>
          </w:p>
        </w:tc>
      </w:tr>
      <w:tr>
        <w:trPr>
          <w:trHeight w:val="243"/>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15,798</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r>
      <w:tr>
        <w:trPr>
          <w:trHeight w:val="263"/>
        </w:trPr>
        <w:tc>
          <w:tcPr>
            <w:tcW w:w="9760" w:type="dxa"/>
            <w:vAlign w:val="bottom"/>
          </w:tcPr>
          <w:p>
            <w:pPr>
              <w:ind w:left="240"/>
              <w:spacing w:after="0"/>
              <w:rPr>
                <w:sz w:val="20"/>
                <w:szCs w:val="20"/>
                <w:color w:val="auto"/>
              </w:rPr>
            </w:pPr>
            <w:r>
              <w:rPr>
                <w:rFonts w:ascii="Arial" w:cs="Arial" w:eastAsia="Arial" w:hAnsi="Arial"/>
                <w:sz w:val="18"/>
                <w:szCs w:val="18"/>
                <w:color w:val="auto"/>
              </w:rPr>
              <w:t>Total future minimum commitments, net</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41,080</w:t>
            </w:r>
          </w:p>
        </w:tc>
      </w:tr>
      <w:tr>
        <w:trPr>
          <w:trHeight w:val="20"/>
        </w:trPr>
        <w:tc>
          <w:tcPr>
            <w:tcW w:w="9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2022, the Company had two irrevocable letters of credit outstanding related to noncancelable facilities leases in the amounts of $0.5 million and $3.5 million, with annual automatic renewal and final expiration dates in April 2025 and July 2028, respectively. As of December 31, 2021, the Company had two irrevocable letters of credit outstanding related to noncancelable facilities leases in the amounts of $0.7 million and $3.5 million, with annual automatic renewal and final expiration dates in June 2022 and July 2028,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 and Equity Incentive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board of directors has authorized 1,000,000,000 shares of Class A common stock, $0.0001 par value per share, and 1,000,000,000 shares of Class B common stock, $0.0001 par value per share. The rights of the holders of Class A common stock and Class B common stock are identical, except with respect to voting and conversion rights. Holders of Class A common stock are entitled to one vote and holders of Class B common stock are entitled to ten votes and is convertible into one share of Class A common stock. Each share of Class B is convertible anytime at the option of the holder into one share of Class A common stock. Once converted or transferred and converted into Class A common stock, the Class B common stock will not be reissued.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Company maintains the 2020 Equity Incentive Plan (“2020 Plan”), pursuant to which the Company may grant stock options, restricted stock awards, stock appreciation rights, restricted stock units (“RSUs”), deferred stock units (“DSUs”) performance awards, and stock bonus awards. As of December 31, 2022, the Company has reserved 7,280,745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 options granted under the Company’s stock incentive plans generally vest over four years, subject to the holder’s continued service through the vesting date and expire no later than ten years from the date of grant.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and related information under the Company’s equity incentive plans: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4"/>
          </w:tcPr>
          <w:p>
            <w:pPr>
              <w:ind w:left="74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9"/>
        </w:trPr>
        <w:tc>
          <w:tcPr>
            <w:tcW w:w="502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73"/>
        </w:trPr>
        <w:tc>
          <w:tcPr>
            <w:tcW w:w="5020" w:type="dxa"/>
            <w:vAlign w:val="bottom"/>
          </w:tcPr>
          <w:p>
            <w:pPr>
              <w:spacing w:after="0"/>
              <w:rPr>
                <w:sz w:val="15"/>
                <w:szCs w:val="15"/>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Weighted-Average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5"/>
                <w:szCs w:val="15"/>
                <w:color w:val="auto"/>
              </w:rPr>
            </w:pPr>
          </w:p>
        </w:tc>
        <w:tc>
          <w:tcPr>
            <w:tcW w:w="13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Aggregate Intrinsic</w:t>
            </w:r>
          </w:p>
        </w:tc>
      </w:tr>
      <w:tr>
        <w:trPr>
          <w:trHeight w:val="175"/>
        </w:trPr>
        <w:tc>
          <w:tcPr>
            <w:tcW w:w="502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5"/>
                <w:szCs w:val="15"/>
                <w:color w:val="auto"/>
              </w:rPr>
            </w:pPr>
          </w:p>
        </w:tc>
        <w:tc>
          <w:tcPr>
            <w:tcW w:w="138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Value (in thousands)</w:t>
            </w:r>
          </w:p>
        </w:tc>
      </w:tr>
      <w:tr>
        <w:trPr>
          <w:trHeight w:val="162"/>
        </w:trPr>
        <w:tc>
          <w:tcPr>
            <w:tcW w:w="502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Outstanding Options</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Contractual Term</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6"/>
        </w:trPr>
        <w:tc>
          <w:tcPr>
            <w:tcW w:w="50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9"/>
        </w:trPr>
        <w:tc>
          <w:tcPr>
            <w:tcW w:w="50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 December 31, 2021</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6,542,351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184,727</w:t>
            </w:r>
          </w:p>
        </w:tc>
      </w:tr>
      <w:tr>
        <w:trPr>
          <w:trHeight w:val="243"/>
        </w:trPr>
        <w:tc>
          <w:tcPr>
            <w:tcW w:w="502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450,153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(358,418)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240"/>
              <w:spacing w:after="0"/>
              <w:rPr>
                <w:sz w:val="20"/>
                <w:szCs w:val="20"/>
                <w:color w:val="auto"/>
              </w:rPr>
            </w:pPr>
            <w:r>
              <w:rPr>
                <w:rFonts w:ascii="Arial" w:cs="Arial" w:eastAsia="Arial" w:hAnsi="Arial"/>
                <w:sz w:val="18"/>
                <w:szCs w:val="18"/>
                <w:color w:val="auto"/>
              </w:rPr>
              <w:t>Options 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(148,070)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Options 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r>
      <w:tr>
        <w:trPr>
          <w:trHeight w:val="264"/>
        </w:trPr>
        <w:tc>
          <w:tcPr>
            <w:tcW w:w="5020" w:type="dxa"/>
            <w:vAlign w:val="bottom"/>
          </w:tcPr>
          <w:p>
            <w:pPr>
              <w:ind w:left="20"/>
              <w:spacing w:after="0"/>
              <w:rPr>
                <w:sz w:val="20"/>
                <w:szCs w:val="20"/>
                <w:color w:val="auto"/>
              </w:rPr>
            </w:pPr>
            <w:r>
              <w:rPr>
                <w:rFonts w:ascii="Arial" w:cs="Arial" w:eastAsia="Arial" w:hAnsi="Arial"/>
                <w:sz w:val="18"/>
                <w:szCs w:val="18"/>
                <w:color w:val="auto"/>
              </w:rPr>
              <w:t>Outstanding — December 31, 2022</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6,476,239</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55,516</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 December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5,089,579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48,635</w:t>
            </w:r>
          </w:p>
        </w:tc>
      </w:tr>
      <w:tr>
        <w:trPr>
          <w:trHeight w:val="27"/>
        </w:trPr>
        <w:tc>
          <w:tcPr>
            <w:tcW w:w="50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aggregate intrinsic value represents the difference between the exercise price of the options and the fair market value of our common stock on the date of exercise. The intrinsic value of options exercised was $6.4 million, $80.7 million and $15.7 million for the years ended December 31, 2022, 2021 and 2020, respectively.</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unrecognized stock-based compensation of $14.1 million related to unvested stock options will be recognized on a straight-line basis over a weighted average period of 2.15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stock options granted under the Company’s equity incentive plans was estimated using the following assumptions: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58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39"/>
        </w:trPr>
        <w:tc>
          <w:tcPr>
            <w:tcW w:w="66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market value of common stock</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$18.63-$31.79</w:t>
            </w:r>
          </w:p>
        </w:tc>
        <w:tc>
          <w:tcPr>
            <w:tcW w:w="1580" w:type="dxa"/>
            <w:vAlign w:val="bottom"/>
            <w:tcBorders>
              <w:bottom w:val="single" w:sz="8" w:color="CCEEFF"/>
            </w:tcBorders>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89"/>
              </w:rPr>
              <w:t>$39.75-$54.07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$3.20-$17.00</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5.0-7.0</w:t>
            </w:r>
          </w:p>
        </w:tc>
        <w:tc>
          <w:tcPr>
            <w:tcW w:w="1580" w:type="dxa"/>
            <w:vAlign w:val="bottom"/>
            <w:gridSpan w:val="2"/>
          </w:tcPr>
          <w:p>
            <w:pPr>
              <w:jc w:val="center"/>
              <w:ind w:left="15"/>
              <w:spacing w:after="0"/>
              <w:rPr>
                <w:sz w:val="20"/>
                <w:szCs w:val="20"/>
                <w:color w:val="auto"/>
              </w:rPr>
            </w:pPr>
            <w:r>
              <w:rPr>
                <w:rFonts w:ascii="Arial" w:cs="Arial" w:eastAsia="Arial" w:hAnsi="Arial"/>
                <w:sz w:val="18"/>
                <w:szCs w:val="18"/>
                <w:color w:val="auto"/>
                <w:w w:val="92"/>
              </w:rPr>
              <w:t>5.8-6.7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5.7-6.4</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1.8%-3.4%</w:t>
            </w:r>
          </w:p>
        </w:tc>
        <w:tc>
          <w:tcPr>
            <w:tcW w:w="1580" w:type="dxa"/>
            <w:vAlign w:val="bottom"/>
            <w:tcBorders>
              <w:bottom w:val="single" w:sz="8" w:color="CCEEFF"/>
            </w:tcBorders>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0"/>
              </w:rPr>
              <w:t>0.6%-1.0%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0.3%-1.5%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54%-57%</w:t>
            </w:r>
          </w:p>
        </w:tc>
        <w:tc>
          <w:tcPr>
            <w:tcW w:w="1580" w:type="dxa"/>
            <w:vAlign w:val="bottom"/>
            <w:gridSpan w:val="2"/>
          </w:tcPr>
          <w:p>
            <w:pPr>
              <w:jc w:val="center"/>
              <w:ind w:left="15"/>
              <w:spacing w:after="0"/>
              <w:rPr>
                <w:sz w:val="20"/>
                <w:szCs w:val="20"/>
                <w:color w:val="auto"/>
              </w:rPr>
            </w:pPr>
            <w:r>
              <w:rPr>
                <w:rFonts w:ascii="Arial" w:cs="Arial" w:eastAsia="Arial" w:hAnsi="Arial"/>
                <w:sz w:val="18"/>
                <w:szCs w:val="18"/>
                <w:color w:val="auto"/>
                <w:w w:val="92"/>
              </w:rPr>
              <w:t>51%-54%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50%-55%</w:t>
            </w: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Weighted-average grant date fair value of options granted</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$13.70</w:t>
            </w:r>
          </w:p>
        </w:tc>
        <w:tc>
          <w:tcPr>
            <w:tcW w:w="1580" w:type="dxa"/>
            <w:vAlign w:val="bottom"/>
            <w:gridSpan w:val="2"/>
          </w:tcPr>
          <w:p>
            <w:pPr>
              <w:jc w:val="center"/>
              <w:ind w:left="15"/>
              <w:spacing w:after="0"/>
              <w:rPr>
                <w:sz w:val="20"/>
                <w:szCs w:val="20"/>
                <w:color w:val="auto"/>
              </w:rPr>
            </w:pPr>
            <w:r>
              <w:rPr>
                <w:rFonts w:ascii="Arial" w:cs="Arial" w:eastAsia="Arial" w:hAnsi="Arial"/>
                <w:sz w:val="18"/>
                <w:szCs w:val="18"/>
                <w:color w:val="auto"/>
                <w:w w:val="87"/>
              </w:rPr>
              <w:t>$20.30</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$4.96</w:t>
            </w:r>
          </w:p>
        </w:tc>
      </w:tr>
    </w:tbl>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of these inputs is subjective and generally requires significant judgment to determine. These assumptions and estimates were determined as follows: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Fair Value of Common Stock - </w:t>
      </w:r>
      <w:r>
        <w:rPr>
          <w:rFonts w:ascii="Arial" w:cs="Arial" w:eastAsia="Arial" w:hAnsi="Arial"/>
          <w:sz w:val="17"/>
          <w:szCs w:val="17"/>
          <w:color w:val="auto"/>
        </w:rPr>
        <w:t>Prior to the Company’s IPO in 2020, the fair value was determined by the board of directors, with input from</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and valuation reports prepared by third-party valuation specialists. Subsequent to the Company’s IPO, the fair value of each share of underlying common stock was based on the closing price of the Company’s Class A common stock as reported on the date of the grant.</w:t>
      </w:r>
    </w:p>
    <w:p>
      <w:pPr>
        <w:spacing w:after="0" w:line="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The expected term represents the period that the Company’s stock-based awards are expected to be outstanding. For option grants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to be “plain vanilla,” the Company determines the expected term using the simplified method. The simplified method deems the term to be the average of the time-to-vesting and the contractual life of the options. For other option grants, the Company estimates expected term using historical data on employee exercises and post-vesting employment termination behavior taking into account the contractual life of the award.</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 The risk-free interest rate is based on the U.S. Treasury yield curve in effect at the time of grant for zero-coupon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notes with maturities approximately equal to the option’s expected term.</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Since the Company has a short trading history of its common stock, the expected volatility is derived from the average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stock volatilities of several unrelated public companies within the Company’s industry that the Company considers to be comparable to its business over a period equivalent to the expected term of the stock option grants.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Dividend Rate </w:t>
      </w:r>
      <w:r>
        <w:rPr>
          <w:rFonts w:ascii="Arial" w:cs="Arial" w:eastAsia="Arial" w:hAnsi="Arial"/>
          <w:sz w:val="17"/>
          <w:szCs w:val="17"/>
          <w:color w:val="auto"/>
        </w:rPr>
        <w:t>- The expected dividend is assumed to be zero as the Company has never paid dividends and has no current plans to do so.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RSU awards generally vest over four years, subject to the holder’s continued service through the vesting date.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 and related information under the Company’s 2020 Plan: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RSUs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100" w:type="dxa"/>
            <w:vAlign w:val="bottom"/>
          </w:tcPr>
          <w:p>
            <w:pPr>
              <w:spacing w:after="0"/>
              <w:rPr>
                <w:sz w:val="15"/>
                <w:szCs w:val="15"/>
                <w:color w:val="auto"/>
              </w:rPr>
            </w:pPr>
          </w:p>
        </w:tc>
        <w:tc>
          <w:tcPr>
            <w:tcW w:w="13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60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7"/>
                <w:szCs w:val="17"/>
                <w:color w:val="auto"/>
              </w:rPr>
            </w:pPr>
          </w:p>
        </w:tc>
        <w:tc>
          <w:tcPr>
            <w:tcW w:w="138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Value (in thousands)</w:t>
            </w:r>
          </w:p>
        </w:tc>
        <w:tc>
          <w:tcPr>
            <w:tcW w:w="0" w:type="dxa"/>
            <w:vAlign w:val="bottom"/>
          </w:tcPr>
          <w:p>
            <w:pPr>
              <w:spacing w:after="0"/>
              <w:rPr>
                <w:sz w:val="1"/>
                <w:szCs w:val="1"/>
                <w:color w:val="auto"/>
              </w:rPr>
            </w:pPr>
          </w:p>
        </w:tc>
      </w:tr>
      <w:tr>
        <w:trPr>
          <w:trHeight w:val="25"/>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17,025</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1,587,930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Canceled/Forfeited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(180,817)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1,581,982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unrecognized stock-based compensation of $37.8 million related to unvested RSUs will be recognized on a straight-line basis over a weighted average period of 2.96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November 2020, the Company’s board of directors adopted, and its stockholders approved, the 2020 Employee Stock Purchase Plan (“ESPP”), which became effective in connection with the Company’s IPO. A total of 500,000 shares of the Company’s Class A common stock were initially reserved for issuance under the ESPP. 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December 31, 2022, the Company has reserved 529,888 shares of its common stock for issuance under the ESPP.</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ESPP, Class A common stock will be purchased for the accounts of employees participating in the ESPP on each purchase date at a price per share equal to 85% of the lesser of: (a) the fair market value on the offering date or (b) the fair market value on the purchase date. The ESPP provides for, at maximum, 27 month offering periods and each offering period may consist of one or more six-month purchase periods, whereby the latest offering period commenced on June 1, 2022, and the offering periods thereafter consist of two six-month purchase periods ending May 31, 2023. As of December 31, 2022, $0.1 million has been withheld on behalf of employees for a future purchase under the ESPP due to the timing of payroll deductions and is included in accrued liabilities. For the twelve months ended December 31, 2022, 183,587 shares of our Class A common stock have been purchased under the ESPP.</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2022, unrecognized stock-based compensation expense related to the ESPP was $0.4 million, which is expected to be recognized over a weighted-average period of 0.41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purchase right granted the under the Company’s 2020 Employee Stock Purchase Plan was estimated using the following assumptions: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60" w:type="dxa"/>
            <w:vAlign w:val="bottom"/>
            <w:gridSpan w:val="3"/>
          </w:tcPr>
          <w:p>
            <w:pPr>
              <w:ind w:left="720"/>
              <w:spacing w:after="0"/>
              <w:rPr>
                <w:sz w:val="20"/>
                <w:szCs w:val="20"/>
                <w:color w:val="auto"/>
              </w:rPr>
            </w:pPr>
            <w:r>
              <w:rPr>
                <w:rFonts w:ascii="Arial" w:cs="Arial" w:eastAsia="Arial" w:hAnsi="Arial"/>
                <w:sz w:val="14"/>
                <w:szCs w:val="14"/>
                <w:b w:val="1"/>
                <w:bCs w:val="1"/>
                <w:color w:val="auto"/>
              </w:rPr>
              <w:t>Year Ended December 31,</w:t>
            </w:r>
          </w:p>
        </w:tc>
      </w:tr>
      <w:tr>
        <w:trPr>
          <w:trHeight w:val="39"/>
        </w:trPr>
        <w:tc>
          <w:tcPr>
            <w:tcW w:w="81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4"/>
        </w:trPr>
        <w:tc>
          <w:tcPr>
            <w:tcW w:w="81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39"/>
        </w:trPr>
        <w:tc>
          <w:tcPr>
            <w:tcW w:w="81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0.5-1.0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0.4-1.4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1.6%-2.2%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0.1%</w:t>
            </w: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83%-79%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60%-76%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of the ESPP represents the period of time that purchase rights are expected to be outstanding.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risk-free interest rate for the expected term of the awards was based on the U.S. Treasury yield curve in effect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grant.</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 Since the Company has a short trading history of its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of several unrelated public companies within the Company’s industry that the Company considers to be comparable to its business over a period equivalent to the expected term of the awards.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Dividend rate </w:t>
      </w:r>
      <w:r>
        <w:rPr>
          <w:rFonts w:ascii="Arial" w:cs="Arial" w:eastAsia="Arial" w:hAnsi="Arial"/>
          <w:sz w:val="18"/>
          <w:szCs w:val="18"/>
          <w:color w:val="auto"/>
        </w:rPr>
        <w:t>- The Company has never declared or paid any cash dividends and does not presently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As a result, an expected dividend yield of zero percent was used.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stock-based compensation expense recognized in the consolidated statements of operations was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8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6"/>
                <w:szCs w:val="16"/>
                <w:color w:val="auto"/>
              </w:rPr>
            </w:pPr>
          </w:p>
        </w:tc>
        <w:tc>
          <w:tcPr>
            <w:tcW w:w="2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486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40" w:type="dxa"/>
            <w:vAlign w:val="bottom"/>
            <w:tcBorders>
              <w:bottom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7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7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20,646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Tax benefit from stock-based compensation</w:t>
            </w:r>
          </w:p>
        </w:tc>
        <w:tc>
          <w:tcPr>
            <w:tcW w:w="1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 net of tax effect</w:t>
            </w:r>
          </w:p>
        </w:tc>
        <w:tc>
          <w:tcPr>
            <w:tcW w:w="2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17,109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vMerge w:val="restart"/>
          </w:tcPr>
          <w:p>
            <w:pPr>
              <w:jc w:val="right"/>
              <w:ind w:right="795"/>
              <w:spacing w:after="0"/>
              <w:rPr>
                <w:sz w:val="20"/>
                <w:szCs w:val="20"/>
                <w:color w:val="auto"/>
              </w:rPr>
            </w:pPr>
            <w:r>
              <w:rPr>
                <w:rFonts w:ascii="Arial" w:cs="Arial" w:eastAsia="Arial" w:hAnsi="Arial"/>
                <w:sz w:val="18"/>
                <w:szCs w:val="18"/>
                <w:color w:val="auto"/>
              </w:rPr>
              <w:t>86</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8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Net Income Per Share Attributable to Common Stockholders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two classes of common stock, Class A and Class B. 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per share (in thousands, except share and per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300" w:type="dxa"/>
            <w:vAlign w:val="bottom"/>
            <w:tcBorders>
              <w:bottom w:val="single" w:sz="8" w:color="auto"/>
            </w:tcBorders>
            <w:gridSpan w:val="7"/>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center"/>
              <w:ind w:right="251"/>
              <w:spacing w:after="0"/>
              <w:rPr>
                <w:sz w:val="20"/>
                <w:szCs w:val="20"/>
                <w:color w:val="auto"/>
              </w:rPr>
            </w:pPr>
            <w:r>
              <w:rPr>
                <w:rFonts w:ascii="Arial" w:cs="Arial" w:eastAsia="Arial" w:hAnsi="Arial"/>
                <w:sz w:val="14"/>
                <w:szCs w:val="14"/>
                <w:b w:val="1"/>
                <w:bCs w:val="1"/>
                <w:color w:val="auto"/>
                <w:w w:val="90"/>
              </w:rPr>
              <w:t>(in thousands, except share and per share data)</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4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28,705</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26,613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Less: Undistributed earnings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(20,187)</w:t>
            </w:r>
          </w:p>
        </w:tc>
        <w:tc>
          <w:tcPr>
            <w:tcW w:w="0" w:type="dxa"/>
            <w:vAlign w:val="bottom"/>
          </w:tcPr>
          <w:p>
            <w:pPr>
              <w:spacing w:after="0"/>
              <w:rPr>
                <w:sz w:val="1"/>
                <w:szCs w:val="1"/>
                <w:color w:val="auto"/>
              </w:rPr>
            </w:pPr>
          </w:p>
        </w:tc>
      </w:tr>
      <w:tr>
        <w:trPr>
          <w:trHeight w:val="263"/>
        </w:trPr>
        <w:tc>
          <w:tcPr>
            <w:tcW w:w="6600" w:type="dxa"/>
            <w:vAlign w:val="bottom"/>
          </w:tcPr>
          <w:p>
            <w:pPr>
              <w:ind w:left="680"/>
              <w:spacing w:after="0"/>
              <w:rPr>
                <w:sz w:val="20"/>
                <w:szCs w:val="20"/>
                <w:color w:val="auto"/>
              </w:rPr>
            </w:pPr>
            <w:r>
              <w:rPr>
                <w:rFonts w:ascii="Arial" w:cs="Arial" w:eastAsia="Arial" w:hAnsi="Arial"/>
                <w:sz w:val="18"/>
                <w:szCs w:val="18"/>
                <w:color w:val="auto"/>
              </w:rPr>
              <w:t>Net income attributable to common stockholders – basic</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6,426</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46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52,278,009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50,184,455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12,642,293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income per share attributable to common stockholders – 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Numerator: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income attributable to common stockholders -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Weighted average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52,278,009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50,184,455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12,642,293</w:t>
            </w:r>
          </w:p>
        </w:tc>
        <w:tc>
          <w:tcPr>
            <w:tcW w:w="0" w:type="dxa"/>
            <w:vAlign w:val="bottom"/>
          </w:tcPr>
          <w:p>
            <w:pPr>
              <w:spacing w:after="0"/>
              <w:rPr>
                <w:sz w:val="1"/>
                <w:szCs w:val="1"/>
                <w:color w:val="auto"/>
              </w:rPr>
            </w:pPr>
          </w:p>
        </w:tc>
      </w:tr>
      <w:tr>
        <w:trPr>
          <w:trHeight w:val="243"/>
        </w:trPr>
        <w:tc>
          <w:tcPr>
            <w:tcW w:w="6600" w:type="dxa"/>
            <w:vAlign w:val="bottom"/>
          </w:tcPr>
          <w:p>
            <w:pPr>
              <w:ind w:left="560"/>
              <w:spacing w:after="0"/>
              <w:rPr>
                <w:sz w:val="20"/>
                <w:szCs w:val="20"/>
                <w:color w:val="auto"/>
              </w:rPr>
            </w:pPr>
            <w:r>
              <w:rPr>
                <w:rFonts w:ascii="Arial" w:cs="Arial" w:eastAsia="Arial" w:hAnsi="Arial"/>
                <w:sz w:val="18"/>
                <w:szCs w:val="18"/>
                <w:color w:val="auto"/>
              </w:rPr>
              <w:t>Options to purchase common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4,605,927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6,353,779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4,483,589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Restricted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560"/>
              <w:spacing w:after="0"/>
              <w:rPr>
                <w:sz w:val="20"/>
                <w:szCs w:val="20"/>
                <w:color w:val="auto"/>
              </w:rPr>
            </w:pPr>
            <w:r>
              <w:rPr>
                <w:rFonts w:ascii="Arial" w:cs="Arial" w:eastAsia="Arial" w:hAnsi="Arial"/>
                <w:sz w:val="18"/>
                <w:szCs w:val="18"/>
                <w:color w:val="auto"/>
              </w:rPr>
              <w:t>Employee stock purchase plan shares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Weighted average shares outstanding –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56,908,197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56,628,574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17,125,882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600" w:type="dxa"/>
            <w:vAlign w:val="bottom"/>
          </w:tcPr>
          <w:p>
            <w:pPr>
              <w:ind w:left="560"/>
              <w:spacing w:after="0"/>
              <w:rPr>
                <w:sz w:val="20"/>
                <w:szCs w:val="20"/>
                <w:color w:val="auto"/>
              </w:rPr>
            </w:pPr>
            <w:r>
              <w:rPr>
                <w:rFonts w:ascii="Arial" w:cs="Arial" w:eastAsia="Arial" w:hAnsi="Arial"/>
                <w:sz w:val="18"/>
                <w:szCs w:val="18"/>
                <w:color w:val="auto"/>
              </w:rPr>
              <w:t>Net income per share attributable to common stockholders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weighted-average outstanding shares of common stock equivalents were excluded from the computation of diluted net income per share attributable to common stockholders for the periods presented because including them would have been anti-dilutive: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6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1,016,449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671,244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846,481</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7"/>
                <w:szCs w:val="17"/>
                <w:color w:val="auto"/>
              </w:rPr>
              <w:t>Unvested restricted stock units</w:t>
            </w:r>
          </w:p>
        </w:tc>
        <w:tc>
          <w:tcPr>
            <w:tcW w:w="1500" w:type="dxa"/>
            <w:vAlign w:val="bottom"/>
          </w:tcPr>
          <w:p>
            <w:pPr>
              <w:jc w:val="right"/>
              <w:spacing w:after="0"/>
              <w:rPr>
                <w:sz w:val="20"/>
                <w:szCs w:val="20"/>
                <w:color w:val="auto"/>
              </w:rPr>
            </w:pPr>
            <w:r>
              <w:rPr>
                <w:rFonts w:ascii="Arial" w:cs="Arial" w:eastAsia="Arial" w:hAnsi="Arial"/>
                <w:sz w:val="18"/>
                <w:szCs w:val="18"/>
                <w:color w:val="auto"/>
              </w:rPr>
              <w:t>1,164,817</w:t>
            </w:r>
          </w:p>
        </w:tc>
        <w:tc>
          <w:tcPr>
            <w:tcW w:w="8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ESPP</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72,522</w:t>
            </w:r>
          </w:p>
        </w:tc>
        <w:tc>
          <w:tcPr>
            <w:tcW w:w="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600" w:type="dxa"/>
            <w:vAlign w:val="bottom"/>
          </w:tcPr>
          <w:p>
            <w:pPr>
              <w:ind w:left="240"/>
              <w:spacing w:after="0"/>
              <w:rPr>
                <w:sz w:val="20"/>
                <w:szCs w:val="20"/>
                <w:color w:val="auto"/>
              </w:rPr>
            </w:pPr>
            <w:r>
              <w:rPr>
                <w:rFonts w:ascii="Arial" w:cs="Arial" w:eastAsia="Arial" w:hAnsi="Arial"/>
                <w:sz w:val="18"/>
                <w:szCs w:val="18"/>
                <w:color w:val="auto"/>
                <w:w w:val="95"/>
              </w:rPr>
              <w:t>Total common stock equivalents excluded from net income per share attributable to</w:t>
            </w: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2,253,788</w:t>
            </w:r>
          </w:p>
        </w:tc>
        <w:tc>
          <w:tcPr>
            <w:tcW w:w="80" w:type="dxa"/>
            <w:vAlign w:val="bottom"/>
            <w:vMerge w:val="restart"/>
          </w:tcPr>
          <w:p>
            <w:pPr>
              <w:spacing w:after="0"/>
              <w:rPr>
                <w:sz w:val="18"/>
                <w:szCs w:val="18"/>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671,244</w:t>
            </w:r>
          </w:p>
        </w:tc>
        <w:tc>
          <w:tcPr>
            <w:tcW w:w="80" w:type="dxa"/>
            <w:vAlign w:val="bottom"/>
          </w:tcPr>
          <w:p>
            <w:pPr>
              <w:spacing w:after="0"/>
              <w:rPr>
                <w:sz w:val="18"/>
                <w:szCs w:val="18"/>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846,481</w:t>
            </w:r>
          </w:p>
        </w:tc>
        <w:tc>
          <w:tcPr>
            <w:tcW w:w="0" w:type="dxa"/>
            <w:vAlign w:val="bottom"/>
          </w:tcPr>
          <w:p>
            <w:pPr>
              <w:spacing w:after="0"/>
              <w:rPr>
                <w:sz w:val="1"/>
                <w:szCs w:val="1"/>
                <w:color w:val="auto"/>
              </w:rPr>
            </w:pPr>
          </w:p>
        </w:tc>
      </w:tr>
      <w:tr>
        <w:trPr>
          <w:trHeight w:val="235"/>
        </w:trPr>
        <w:tc>
          <w:tcPr>
            <w:tcW w:w="6600" w:type="dxa"/>
            <w:vAlign w:val="bottom"/>
          </w:tcPr>
          <w:p>
            <w:pPr>
              <w:ind w:left="400"/>
              <w:spacing w:after="0"/>
              <w:rPr>
                <w:sz w:val="20"/>
                <w:szCs w:val="20"/>
                <w:color w:val="auto"/>
              </w:rPr>
            </w:pPr>
            <w:r>
              <w:rPr>
                <w:rFonts w:ascii="Arial" w:cs="Arial" w:eastAsia="Arial" w:hAnsi="Arial"/>
                <w:sz w:val="18"/>
                <w:szCs w:val="18"/>
                <w:color w:val="auto"/>
              </w:rPr>
              <w:t>common stockholders – diluted</w:t>
            </w:r>
          </w:p>
        </w:tc>
        <w:tc>
          <w:tcPr>
            <w:tcW w:w="15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domestic and foreign components of income before provision for income taxes were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32,945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Foreign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37,467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64,803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provision for income taxes consisted of the following (in thousands):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6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6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provisions for income taxes: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Federal</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11,379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Foreign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tax expense</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14,788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expense: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Federal</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Foreign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deferred tax expense</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(6,026)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63"/>
        </w:trPr>
        <w:tc>
          <w:tcPr>
            <w:tcW w:w="6600" w:type="dxa"/>
            <w:vAlign w:val="bottom"/>
          </w:tcPr>
          <w:p>
            <w:pPr>
              <w:ind w:left="240"/>
              <w:spacing w:after="0"/>
              <w:rPr>
                <w:sz w:val="20"/>
                <w:szCs w:val="20"/>
                <w:color w:val="auto"/>
              </w:rPr>
            </w:pPr>
            <w:r>
              <w:rPr>
                <w:rFonts w:ascii="Arial" w:cs="Arial" w:eastAsia="Arial" w:hAnsi="Arial"/>
                <w:sz w:val="18"/>
                <w:szCs w:val="18"/>
                <w:color w:val="auto"/>
              </w:rPr>
              <w:t>Total provision for income taxes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reconciliation of the U.S. federal statutory income tax rate to the Company’s effective tax rate for the periods presented:</w:t>
      </w:r>
    </w:p>
    <w:p>
      <w:pPr>
        <w:spacing w:after="0" w:line="132"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40640</wp:posOffset>
            </wp:positionV>
            <wp:extent cx="3145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gridSpan w:val="2"/>
          </w:tcPr>
          <w:p>
            <w:pPr>
              <w:ind w:left="6940"/>
              <w:spacing w:after="0"/>
              <w:rPr>
                <w:sz w:val="20"/>
                <w:szCs w:val="20"/>
                <w:color w:val="auto"/>
              </w:rPr>
            </w:pPr>
            <w:r>
              <w:rPr>
                <w:rFonts w:ascii="Arial" w:cs="Arial" w:eastAsia="Arial" w:hAnsi="Arial"/>
                <w:sz w:val="14"/>
                <w:szCs w:val="14"/>
                <w:b w:val="1"/>
                <w:bCs w:val="1"/>
                <w:color w:val="auto"/>
                <w:w w:val="83"/>
              </w:rPr>
              <w:t>2022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39"/>
        </w:trPr>
        <w:tc>
          <w:tcPr>
            <w:tcW w:w="62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21.00 %</w:t>
            </w:r>
          </w:p>
        </w:tc>
      </w:tr>
      <w:tr>
        <w:trPr>
          <w:trHeight w:val="24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State after-tax rate</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4.47</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(10.38)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(6.79)</w:t>
            </w:r>
          </w:p>
        </w:tc>
      </w:tr>
      <w:tr>
        <w:trPr>
          <w:trHeight w:val="24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Research credit</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3"/>
              </w:rPr>
              <w:t>(4.51)</w:t>
            </w:r>
          </w:p>
        </w:tc>
        <w:tc>
          <w:tcPr>
            <w:tcW w:w="10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(2.04)</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Transfer pricing reserve</w:t>
            </w:r>
          </w:p>
        </w:tc>
        <w:tc>
          <w:tcPr>
            <w:tcW w:w="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1.32</w:t>
            </w:r>
          </w:p>
        </w:tc>
      </w:tr>
      <w:tr>
        <w:trPr>
          <w:trHeight w:val="24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Foreign rate differential</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w w:val="93"/>
              </w:rPr>
              <w:t>(0.02)</w:t>
            </w:r>
          </w:p>
        </w:tc>
        <w:tc>
          <w:tcPr>
            <w:tcW w:w="100" w:type="dxa"/>
            <w:vAlign w:val="bottom"/>
          </w:tcPr>
          <w:p>
            <w:pPr>
              <w:spacing w:after="0"/>
              <w:rPr>
                <w:sz w:val="21"/>
                <w:szCs w:val="21"/>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0.73</w:t>
            </w:r>
          </w:p>
        </w:tc>
        <w:tc>
          <w:tcPr>
            <w:tcW w:w="80" w:type="dxa"/>
            <w:vAlign w:val="bottom"/>
          </w:tcPr>
          <w:p>
            <w:pPr>
              <w:spacing w:after="0"/>
              <w:rPr>
                <w:sz w:val="21"/>
                <w:szCs w:val="21"/>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0.61</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derived intangible income</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(0.48)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(3.26)</w:t>
            </w:r>
          </w:p>
        </w:tc>
      </w:tr>
      <w:tr>
        <w:trPr>
          <w:trHeight w:val="24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Section 162(m) limitation</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1"/>
                <w:szCs w:val="21"/>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0.42</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0.42</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9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23.43 %</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12.64 %</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15.73 %</w:t>
            </w:r>
          </w:p>
        </w:tc>
      </w:tr>
      <w:tr>
        <w:trPr>
          <w:trHeight w:val="20"/>
        </w:trPr>
        <w:tc>
          <w:tcPr>
            <w:tcW w:w="6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carrying amounts of assets and liabilities for financial reporting purposes and the amounts used for income tax purposes.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components of the Company’s deferred tax assets and liabilities were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Accruals and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Tax credits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Unrealized gain on equity investment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Intangibles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Lease obligation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r>
      <w:tr>
        <w:trPr>
          <w:trHeight w:val="237"/>
        </w:trPr>
        <w:tc>
          <w:tcPr>
            <w:tcW w:w="660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37"/>
        </w:trPr>
        <w:tc>
          <w:tcPr>
            <w:tcW w:w="6600" w:type="dxa"/>
            <w:vAlign w:val="bottom"/>
          </w:tcPr>
          <w:p>
            <w:pPr>
              <w:ind w:left="460"/>
              <w:spacing w:after="0"/>
              <w:rPr>
                <w:sz w:val="20"/>
                <w:szCs w:val="20"/>
                <w:color w:val="auto"/>
              </w:rPr>
            </w:pPr>
            <w:r>
              <w:rPr>
                <w:rFonts w:ascii="Arial" w:cs="Arial" w:eastAsia="Arial" w:hAnsi="Arial"/>
                <w:sz w:val="18"/>
                <w:szCs w:val="18"/>
                <w:color w:val="auto"/>
              </w:rPr>
              <w:t>Total deferred tax assets, net of valuation allowance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5,249</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Property, equipment, and software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(4,995)</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Prepaid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Right-of-use asset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Acquired intangibles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Unrealized loss on equity investment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60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deferred income tax asset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had gross federal and state net operating loss carryforwards of approximately $1.1 million and $1.3 million, respectively, as of December 31, 2022. The federal net operating loss never expires and the state net operating losses will expire at various dates beginning in 2035 if not utilized and may be subject to annual limitations of usage, as promulgated by the Internal Revenue Service, due to ownership changes that may have occurred in the past. As of December 31, 2022, the Company had state research and development credit carryforwards of $4.1 million. The state credits can be carried forward indefinitely.</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Section 382 of the Internal Revenue Code of 1986, as amended (“Code”), the Company’s ability to utilize net operating loss carryforwards or other tax attributes, such as research tax credits, in any taxable year may be limited if the Company experiences an “ownership change.” A Section 382 “ownership change” generally occurs if one or more stockholders or groups of stockholders who own at least 5% of the Company’s stock increase their ownership by more than 50 percentage points over their lowest ownership percentage within a rolling three year period. Similar rules may apply under state tax laws. Net operating loss carryforwards and other tax attributes generated are currently not subject to limitation by Section 382, but subsequent changes in the Company’s stock ownership as well as other changes that may be outside of the Company’s control, could result in additional ownership changes under Section 382 of the Code.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Valuation Allowance</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Management has determined that there is sufficient positive evidence that a valuation allowance against deferred tax assets is not required as of December 31, 2022 and 2021, except for state research credit carryforwards, starting in 2020, for which realization is not deemed more likely than not given the Company expects to generate more credits in future than can be utilized against projected taxable income.</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not historically provided for U.S. deferred taxes on the cumulative earnings of non-U.S. affiliates that have been reinvested indefinitely. However, under the 2017 Tax Act the Company was deemed to have repatriated the cumulative earnings of its non-U.S. affiliates and the U.S. liability associated with those cumulative earnings has been reflected in the current federal tax provision. In addition, the Tax Act has enacted tax provisions that will subject all foreign earnings to U.S. taxation. The Company will continue to maintain its policy of indefinite reinvestment to the extent that the repatriation of foreign earnings are restricted by local laws, accounting rules, substantial incremental costs associated with repatriating the foreign earnings, or other business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related to the unrecognized income tax benefits is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9"/>
        </w:trPr>
        <w:tc>
          <w:tcPr>
            <w:tcW w:w="66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4"/>
        </w:trPr>
        <w:tc>
          <w:tcPr>
            <w:tcW w:w="66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39"/>
        </w:trPr>
        <w:tc>
          <w:tcPr>
            <w:tcW w:w="66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unrecognized income tax benefits — beginning balance</w:t>
            </w: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2,364</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Increases related to tax positions taken during the current year</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951</w:t>
            </w: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Decreases related to tax positions taken during current year</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00" w:type="dxa"/>
            <w:vAlign w:val="bottom"/>
          </w:tcPr>
          <w:p>
            <w:pPr>
              <w:ind w:left="240"/>
              <w:spacing w:after="0"/>
              <w:rPr>
                <w:sz w:val="20"/>
                <w:szCs w:val="20"/>
                <w:color w:val="auto"/>
              </w:rPr>
            </w:pPr>
            <w:r>
              <w:rPr>
                <w:rFonts w:ascii="Arial" w:cs="Arial" w:eastAsia="Arial" w:hAnsi="Arial"/>
                <w:sz w:val="18"/>
                <w:szCs w:val="18"/>
                <w:color w:val="auto"/>
              </w:rPr>
              <w:t>Increases related to tax positions taken during the prior years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Decreases related to tax positions taken during the 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6600" w:type="dxa"/>
            <w:vAlign w:val="bottom"/>
          </w:tcPr>
          <w:p>
            <w:pPr>
              <w:ind w:left="20"/>
              <w:spacing w:after="0"/>
              <w:rPr>
                <w:sz w:val="20"/>
                <w:szCs w:val="20"/>
                <w:color w:val="auto"/>
              </w:rPr>
            </w:pPr>
            <w:r>
              <w:rPr>
                <w:rFonts w:ascii="Arial" w:cs="Arial" w:eastAsia="Arial" w:hAnsi="Arial"/>
                <w:sz w:val="18"/>
                <w:szCs w:val="18"/>
                <w:color w:val="auto"/>
              </w:rPr>
              <w:t>Gross unrecognized income tax benefits — ending balance</w:t>
            </w:r>
          </w:p>
        </w:tc>
        <w:tc>
          <w:tcPr>
            <w:tcW w:w="94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4,303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w:t>
            </w:r>
          </w:p>
        </w:tc>
      </w:tr>
      <w:tr>
        <w:trPr>
          <w:trHeight w:val="27"/>
        </w:trPr>
        <w:tc>
          <w:tcPr>
            <w:tcW w:w="6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Company recognizes interest and penalties, if any, related to uncertain tax positions in its income tax provision. As of December 31, 2022 and 2021, the Company had approximately $0.2 million and $0.1 million, respectively, of accrued interest related to uncertain tax positions.</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of the $4.3 million of unrecognized income tax benefits would, if recognized, impact the effective tax rate in the period in which each of the benefits is recognized.</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files U.S., state and foreign income tax returns with varying statutes of limitations. The federal, state, and foreign returns statute of limitations remains open for tax years from 2013 and thereafter. There are currently no income tax audits involving any U.S. states or foreign tax jurisdictions.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 by geographic area based on the publisher’s billing address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39"/>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156,067</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96,886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EMEA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34,156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226,908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148,748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80" w:type="dxa"/>
            <w:vAlign w:val="bottom"/>
            <w:gridSpan w:val="3"/>
          </w:tcPr>
          <w:p>
            <w:pPr>
              <w:ind w:left="340"/>
              <w:spacing w:after="0"/>
              <w:rPr>
                <w:sz w:val="20"/>
                <w:szCs w:val="20"/>
                <w:color w:val="auto"/>
              </w:rPr>
            </w:pPr>
            <w:r>
              <w:rPr>
                <w:rFonts w:ascii="Arial" w:cs="Arial" w:eastAsia="Arial" w:hAnsi="Arial"/>
                <w:sz w:val="18"/>
                <w:szCs w:val="18"/>
                <w:color w:val="auto"/>
                <w:w w:val="94"/>
              </w:rPr>
              <w:t>The following table presents property, equipment and software, net, by geographic area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42,059</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Arial" w:cs="Arial" w:eastAsia="Arial" w:hAnsi="Arial"/>
                <w:sz w:val="18"/>
                <w:szCs w:val="18"/>
                <w:color w:val="auto"/>
                <w:w w:val="97"/>
              </w:rPr>
              <w:t>The following table presents operating lease right-of-use assets, by geographic area (in thousands):</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0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9"/>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Rest of the world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14 – 401(k) Plan</w:t>
      </w:r>
    </w:p>
    <w:p>
      <w:pPr>
        <w:spacing w:after="0" w:line="12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$1.2 million matching contribution to the 401(k) Plan for the year ended December 31, 2022 and zero matching contribution for the year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February 27, 2023, our Board of Directors authorized a program for the repurchase of up to $75 million of our Class A common stock (“2023 Repurchase Program”). Pursuant to the 2023 Repurchase Program, we are authorized to repurchase shares in the open market and/or in privately negotiated transactions, in accordance with Rule 10b-18 and/or Rule 10b5-1 of the Exchange Act. The timing and total amount of the repurchases will depend upon business, economic and market conditions, corporate and regulatory requirements, prevailing stock prices and other considerations. The 2023 Repurchase Program is scheduled to terminate on December 31, 2024.</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Our management conducted an assessment of the effectiveness our internal control over financial reporting based on criteria established in Internal Control – Integrated Framework (2013) issued by the Committee of Sponsoring Organizations of the Treadway Commission. Our management has concluded that our internal control over financial reporting was effective as of December 31, 2022 to provide reasonable assurance regarding the reliability of financial reporting and the preparation of financial statements in accordance with U.S. GAAP.</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Deloitte and Touche, LLP, an independent registered public accounting firm, as stated in their report, which is included in Item 8 of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13a-15(d) and 15d-15(d) under the Exchange Act) that occurred during the quarter ended December 31, 2022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 and Procedures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its inherent limitations, internal control over financial reporting is not intended to provide absolute assurance that a misstatement of our consolidated financial statements would be prevented or detected.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including our principal executive officer, principal financial officer and principal accounting officer, and our board of directors. A copy of this code, “Code of Business Conduct and Ethics,” is available on our website at https://investors.pubmatic.com under the section titled “Governance.” Any amendments or waivers of our Code of Business Conduct and Ethics pertaining to one of our executive officers or a member of our board of directors will be disclosed on the website address and location specified above.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other information required by this item will be included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21" w:lineRule="exact"/>
        <w:rPr>
          <w:sz w:val="20"/>
          <w:szCs w:val="20"/>
          <w:color w:val="auto"/>
        </w:rPr>
      </w:pPr>
    </w:p>
    <w:p>
      <w:pPr>
        <w:jc w:val="right"/>
        <w:ind w:right="2400"/>
        <w:spacing w:after="0" w:line="445" w:lineRule="auto"/>
        <w:rPr>
          <w:sz w:val="20"/>
          <w:szCs w:val="20"/>
          <w:color w:val="auto"/>
        </w:rPr>
      </w:pPr>
      <w:r>
        <w:rPr>
          <w:rFonts w:ascii="Arial" w:cs="Arial" w:eastAsia="Arial" w:hAnsi="Arial"/>
          <w:sz w:val="17"/>
          <w:szCs w:val="17"/>
          <w:b w:val="1"/>
          <w:bCs w:val="1"/>
          <w:color w:val="auto"/>
        </w:rPr>
        <w:t xml:space="preserve">ITEM 13. CERTAIN RELATIONSHIP AND RELATED TRANSACTIONS, AND DIRECTOR INDEPENDENCE </w:t>
      </w:r>
      <w:r>
        <w:rPr>
          <w:rFonts w:ascii="Arial" w:cs="Arial" w:eastAsia="Arial" w:hAnsi="Arial"/>
          <w:sz w:val="17"/>
          <w:szCs w:val="17"/>
          <w:color w:val="auto"/>
        </w:rPr>
        <w:t>The information required by this item will be included in the Proxy Statement and is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required by this item will be included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a part of this Annual Report on Form 10-K: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1) Financial Statements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concerning our financial statements, and Report of Independent Registered Public Accounting Firm required by this Item is incorporated by reference herein to the section of this Annual Report on Form 10-K in Item 8, entitled “Consolidated Financial Statements and Supplementary Data.”</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 Financial Statement Schedules</w:t>
      </w:r>
    </w:p>
    <w:p>
      <w:pPr>
        <w:spacing w:after="0" w:line="11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All schedules have been omitted because the required information is not present or not present in amounts sufficient to require submission of the schedules, or because the information required is included in Item 8, entitled “Consolidated Financial Statements and Supplementary Data.”</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 Exhibits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required to be filed as part of this report are: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6"/>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60"/>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4780" w:type="dxa"/>
            <w:vAlign w:val="bottom"/>
            <w:gridSpan w:val="23"/>
          </w:tcPr>
          <w:p>
            <w:pPr>
              <w:spacing w:after="0"/>
              <w:rPr>
                <w:sz w:val="20"/>
                <w:szCs w:val="20"/>
                <w:color w:val="auto"/>
              </w:rPr>
            </w:pPr>
            <w:r>
              <w:rPr>
                <w:rFonts w:ascii="Arial" w:cs="Arial" w:eastAsia="Arial" w:hAnsi="Arial"/>
                <w:sz w:val="14"/>
                <w:szCs w:val="14"/>
                <w:b w:val="1"/>
                <w:bCs w:val="1"/>
                <w:color w:val="auto"/>
              </w:rPr>
              <w:t>Description of Document</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File No.</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Filing 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9"/>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00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20" w:type="dxa"/>
            <w:vAlign w:val="bottom"/>
            <w:tcBorders>
              <w:bottom w:val="single" w:sz="8" w:color="0000FF"/>
            </w:tcBorders>
            <w:gridSpan w:val="21"/>
          </w:tcPr>
          <w:p>
            <w:pPr>
              <w:spacing w:after="0"/>
              <w:rPr>
                <w:rFonts w:ascii="Arial" w:cs="Arial" w:eastAsia="Arial" w:hAnsi="Arial"/>
                <w:sz w:val="17"/>
                <w:szCs w:val="17"/>
                <w:color w:val="0000FF"/>
                <w:w w:val="89"/>
              </w:rPr>
            </w:pPr>
            <w:hyperlink r:id="rId121">
              <w:r>
                <w:rPr>
                  <w:rFonts w:ascii="Arial" w:cs="Arial" w:eastAsia="Arial" w:hAnsi="Arial"/>
                  <w:sz w:val="17"/>
                  <w:szCs w:val="17"/>
                  <w:color w:val="0000FF"/>
                  <w:w w:val="89"/>
                </w:rPr>
                <w:t>Agreement and Plan of Merger, dated as of September 14, 2022, by</w:t>
              </w:r>
            </w:hyperlink>
          </w:p>
        </w:tc>
        <w:tc>
          <w:tcPr>
            <w:tcW w:w="160" w:type="dxa"/>
            <w:vAlign w:val="bottom"/>
            <w:gridSpan w:val="2"/>
          </w:tcPr>
          <w:p>
            <w:pPr>
              <w:spacing w:after="0"/>
              <w:rPr>
                <w:sz w:val="19"/>
                <w:szCs w:val="19"/>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19"/>
                <w:szCs w:val="19"/>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September 14, 2022</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3"/>
          </w:tcPr>
          <w:p>
            <w:pPr>
              <w:spacing w:after="0" w:line="183" w:lineRule="exact"/>
              <w:rPr>
                <w:rFonts w:ascii="Arial" w:cs="Arial" w:eastAsia="Arial" w:hAnsi="Arial"/>
                <w:sz w:val="17"/>
                <w:szCs w:val="17"/>
                <w:color w:val="0000FF"/>
              </w:rPr>
            </w:pPr>
            <w:hyperlink r:id="rId121">
              <w:r>
                <w:rPr>
                  <w:rFonts w:ascii="Arial" w:cs="Arial" w:eastAsia="Arial" w:hAnsi="Arial"/>
                  <w:sz w:val="17"/>
                  <w:szCs w:val="17"/>
                  <w:color w:val="0000FF"/>
                </w:rPr>
                <w:t>and among the Registrant, Marlin Acquisition Sub, Inc., and</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top w:val="single" w:sz="8" w:color="0000FF"/>
              <w:bottom w:val="single" w:sz="8" w:color="0000FF"/>
            </w:tcBorders>
            <w:gridSpan w:val="4"/>
          </w:tcPr>
          <w:p>
            <w:pPr>
              <w:spacing w:after="0" w:line="183" w:lineRule="exact"/>
              <w:rPr>
                <w:rFonts w:ascii="Arial" w:cs="Arial" w:eastAsia="Arial" w:hAnsi="Arial"/>
                <w:sz w:val="17"/>
                <w:szCs w:val="17"/>
                <w:color w:val="0000FF"/>
                <w:w w:val="90"/>
              </w:rPr>
            </w:pPr>
            <w:hyperlink r:id="rId121">
              <w:r>
                <w:rPr>
                  <w:rFonts w:ascii="Arial" w:cs="Arial" w:eastAsia="Arial" w:hAnsi="Arial"/>
                  <w:sz w:val="17"/>
                  <w:szCs w:val="17"/>
                  <w:color w:val="0000FF"/>
                  <w:w w:val="90"/>
                </w:rPr>
                <w:t>ConsultMates, Inc.</w:t>
              </w:r>
            </w:hyperlink>
          </w:p>
        </w:tc>
        <w:tc>
          <w:tcPr>
            <w:tcW w:w="2820" w:type="dxa"/>
            <w:vAlign w:val="bottom"/>
            <w:tcBorders>
              <w:top w:val="single" w:sz="8" w:color="0000FF"/>
            </w:tcBorders>
            <w:gridSpan w:val="10"/>
          </w:tcPr>
          <w:p>
            <w:pPr>
              <w:spacing w:after="0"/>
              <w:rPr>
                <w:sz w:val="15"/>
                <w:szCs w:val="15"/>
                <w:color w:val="auto"/>
              </w:rPr>
            </w:pPr>
          </w:p>
        </w:tc>
        <w:tc>
          <w:tcPr>
            <w:tcW w:w="660" w:type="dxa"/>
            <w:vAlign w:val="bottom"/>
            <w:gridSpan w:val="9"/>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9"/>
          </w:tcPr>
          <w:p>
            <w:pPr>
              <w:spacing w:after="0"/>
              <w:rPr>
                <w:rFonts w:ascii="Arial" w:cs="Arial" w:eastAsia="Arial" w:hAnsi="Arial"/>
                <w:sz w:val="17"/>
                <w:szCs w:val="17"/>
                <w:color w:val="0000FF"/>
                <w:w w:val="91"/>
              </w:rPr>
            </w:pPr>
            <w:hyperlink r:id="rId122">
              <w:r>
                <w:rPr>
                  <w:rFonts w:ascii="Arial" w:cs="Arial" w:eastAsia="Arial" w:hAnsi="Arial"/>
                  <w:sz w:val="17"/>
                  <w:szCs w:val="17"/>
                  <w:color w:val="0000FF"/>
                  <w:w w:val="91"/>
                </w:rPr>
                <w:t>Restated Certificate of Incorporation.</w:t>
              </w:r>
            </w:hyperlink>
          </w:p>
        </w:tc>
        <w:tc>
          <w:tcPr>
            <w:tcW w:w="2220" w:type="dxa"/>
            <w:vAlign w:val="bottom"/>
            <w:gridSpan w:val="14"/>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26,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3"/>
          </w:tcPr>
          <w:p>
            <w:pPr>
              <w:spacing w:after="0"/>
              <w:rPr>
                <w:sz w:val="20"/>
                <w:szCs w:val="20"/>
                <w:color w:val="auto"/>
              </w:rPr>
            </w:pPr>
            <w:r>
              <w:rPr>
                <w:rFonts w:ascii="Arial" w:cs="Arial" w:eastAsia="Arial" w:hAnsi="Arial"/>
                <w:sz w:val="17"/>
                <w:szCs w:val="17"/>
                <w:color w:val="0000FF"/>
              </w:rPr>
              <w:t>Amended and Restated Bylaws.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Borders>
              <w:bottom w:val="single" w:sz="8" w:color="0000FF"/>
            </w:tcBorders>
            <w:gridSpan w:val="13"/>
          </w:tcPr>
          <w:p>
            <w:pPr>
              <w:spacing w:after="0"/>
              <w:rPr>
                <w:rFonts w:ascii="Arial" w:cs="Arial" w:eastAsia="Arial" w:hAnsi="Arial"/>
                <w:sz w:val="17"/>
                <w:szCs w:val="17"/>
                <w:color w:val="0000FF"/>
                <w:w w:val="92"/>
              </w:rPr>
            </w:pPr>
            <w:hyperlink r:id="rId123">
              <w:r>
                <w:rPr>
                  <w:rFonts w:ascii="Arial" w:cs="Arial" w:eastAsia="Arial" w:hAnsi="Arial"/>
                  <w:sz w:val="17"/>
                  <w:szCs w:val="17"/>
                  <w:color w:val="0000FF"/>
                  <w:w w:val="92"/>
                </w:rPr>
                <w:t>Form of Class A Common Stock Certificate.</w:t>
              </w:r>
            </w:hyperlink>
          </w:p>
        </w:tc>
        <w:tc>
          <w:tcPr>
            <w:tcW w:w="1720" w:type="dxa"/>
            <w:vAlign w:val="bottom"/>
            <w:gridSpan w:val="10"/>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tcBorders>
              <w:bottom w:val="single" w:sz="8" w:color="0000FF"/>
            </w:tcBorders>
            <w:gridSpan w:val="19"/>
          </w:tcPr>
          <w:p>
            <w:pPr>
              <w:spacing w:after="0"/>
              <w:rPr>
                <w:rFonts w:ascii="Arial" w:cs="Arial" w:eastAsia="Arial" w:hAnsi="Arial"/>
                <w:sz w:val="17"/>
                <w:szCs w:val="17"/>
                <w:color w:val="0000FF"/>
                <w:w w:val="90"/>
              </w:rPr>
            </w:pPr>
            <w:hyperlink r:id="rId124">
              <w:r>
                <w:rPr>
                  <w:rFonts w:ascii="Arial" w:cs="Arial" w:eastAsia="Arial" w:hAnsi="Arial"/>
                  <w:sz w:val="17"/>
                  <w:szCs w:val="17"/>
                  <w:color w:val="0000FF"/>
                  <w:w w:val="90"/>
                </w:rPr>
                <w:t>Sixth Amended and Restated Investors’ Rights Agreement, dated</w:t>
              </w:r>
            </w:hyperlink>
          </w:p>
        </w:tc>
        <w:tc>
          <w:tcPr>
            <w:tcW w:w="320" w:type="dxa"/>
            <w:vAlign w:val="bottom"/>
            <w:gridSpan w:val="4"/>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3"/>
          </w:tcPr>
          <w:p>
            <w:pPr>
              <w:spacing w:after="0" w:line="183" w:lineRule="exact"/>
              <w:rPr>
                <w:rFonts w:ascii="Arial" w:cs="Arial" w:eastAsia="Arial" w:hAnsi="Arial"/>
                <w:sz w:val="17"/>
                <w:szCs w:val="17"/>
                <w:color w:val="0000FF"/>
                <w:w w:val="99"/>
              </w:rPr>
            </w:pPr>
            <w:hyperlink r:id="rId124">
              <w:r>
                <w:rPr>
                  <w:rFonts w:ascii="Arial" w:cs="Arial" w:eastAsia="Arial" w:hAnsi="Arial"/>
                  <w:sz w:val="17"/>
                  <w:szCs w:val="17"/>
                  <w:color w:val="0000FF"/>
                  <w:w w:val="99"/>
                </w:rPr>
                <w:t>October 1, 2020, by and among the Registrant and certain of its</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16"/>
          </w:tcPr>
          <w:p>
            <w:pPr>
              <w:spacing w:after="0" w:line="183" w:lineRule="exact"/>
              <w:rPr>
                <w:rFonts w:ascii="Arial" w:cs="Arial" w:eastAsia="Arial" w:hAnsi="Arial"/>
                <w:sz w:val="17"/>
                <w:szCs w:val="17"/>
                <w:color w:val="0000FF"/>
              </w:rPr>
            </w:pPr>
            <w:hyperlink r:id="rId124">
              <w:r>
                <w:rPr>
                  <w:rFonts w:ascii="Arial" w:cs="Arial" w:eastAsia="Arial" w:hAnsi="Arial"/>
                  <w:sz w:val="17"/>
                  <w:szCs w:val="17"/>
                  <w:color w:val="0000FF"/>
                </w:rPr>
                <w:t>stockholders.</w:t>
              </w:r>
            </w:hyperlink>
          </w:p>
        </w:tc>
        <w:tc>
          <w:tcPr>
            <w:tcW w:w="440" w:type="dxa"/>
            <w:vAlign w:val="bottom"/>
            <w:gridSpan w:val="7"/>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3"/>
          </w:tcPr>
          <w:p>
            <w:pPr>
              <w:spacing w:after="0"/>
              <w:rPr>
                <w:rFonts w:ascii="Arial" w:cs="Arial" w:eastAsia="Arial" w:hAnsi="Arial"/>
                <w:sz w:val="17"/>
                <w:szCs w:val="17"/>
                <w:color w:val="0000FF"/>
              </w:rPr>
            </w:pPr>
            <w:hyperlink r:id="rId125">
              <w:r>
                <w:rPr>
                  <w:rFonts w:ascii="Arial" w:cs="Arial" w:eastAsia="Arial" w:hAnsi="Arial"/>
                  <w:sz w:val="17"/>
                  <w:szCs w:val="17"/>
                  <w:color w:val="0000FF"/>
                </w:rPr>
                <w:t>Description of the Registrant’s Securities</w:t>
              </w:r>
            </w:hyperlink>
            <w:r>
              <w:rPr>
                <w:rFonts w:ascii="Arial" w:cs="Arial" w:eastAsia="Arial" w:hAnsi="Arial"/>
                <w:sz w:val="17"/>
                <w:szCs w:val="17"/>
                <w:color w:val="000000"/>
              </w:rPr>
              <w:t>.</w:t>
            </w: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26,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tcBorders>
              <w:top w:val="single" w:sz="8" w:color="0000FF"/>
              <w:bottom w:val="single" w:sz="8" w:color="0000FF"/>
            </w:tcBorders>
            <w:gridSpan w:val="8"/>
          </w:tcPr>
          <w:p>
            <w:pPr>
              <w:spacing w:after="0"/>
              <w:rPr>
                <w:rFonts w:ascii="Arial" w:cs="Arial" w:eastAsia="Arial" w:hAnsi="Arial"/>
                <w:sz w:val="17"/>
                <w:szCs w:val="17"/>
                <w:color w:val="0000FF"/>
                <w:w w:val="93"/>
              </w:rPr>
            </w:pPr>
            <w:hyperlink r:id="rId126">
              <w:r>
                <w:rPr>
                  <w:rFonts w:ascii="Arial" w:cs="Arial" w:eastAsia="Arial" w:hAnsi="Arial"/>
                  <w:sz w:val="17"/>
                  <w:szCs w:val="17"/>
                  <w:color w:val="0000FF"/>
                  <w:w w:val="93"/>
                </w:rPr>
                <w:t>Form of Indemnification Agreement.</w:t>
              </w:r>
            </w:hyperlink>
          </w:p>
        </w:tc>
        <w:tc>
          <w:tcPr>
            <w:tcW w:w="280" w:type="dxa"/>
            <w:vAlign w:val="bottom"/>
            <w:tcBorders>
              <w:top w:val="single" w:sz="8" w:color="0000FF"/>
            </w:tcBorders>
            <w:gridSpan w:val="3"/>
          </w:tcPr>
          <w:p>
            <w:pPr>
              <w:spacing w:after="0"/>
              <w:rPr>
                <w:sz w:val="24"/>
                <w:szCs w:val="24"/>
                <w:color w:val="auto"/>
              </w:rPr>
            </w:pPr>
          </w:p>
        </w:tc>
        <w:tc>
          <w:tcPr>
            <w:tcW w:w="1960" w:type="dxa"/>
            <w:vAlign w:val="bottom"/>
            <w:gridSpan w:val="12"/>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10.2*</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Arial" w:cs="Arial" w:eastAsia="Arial" w:hAnsi="Arial"/>
                <w:sz w:val="17"/>
                <w:szCs w:val="17"/>
                <w:color w:val="0000FF"/>
                <w:w w:val="95"/>
              </w:rPr>
            </w:pPr>
            <w:hyperlink r:id="rId127">
              <w:r>
                <w:rPr>
                  <w:rFonts w:ascii="Arial" w:cs="Arial" w:eastAsia="Arial" w:hAnsi="Arial"/>
                  <w:sz w:val="17"/>
                  <w:szCs w:val="17"/>
                  <w:color w:val="0000FF"/>
                  <w:w w:val="95"/>
                </w:rPr>
                <w:t>2006</w:t>
              </w:r>
            </w:hyperlink>
          </w:p>
        </w:tc>
        <w:tc>
          <w:tcPr>
            <w:tcW w:w="4400" w:type="dxa"/>
            <w:vAlign w:val="bottom"/>
            <w:gridSpan w:val="22"/>
          </w:tcPr>
          <w:p>
            <w:pPr>
              <w:spacing w:after="0"/>
              <w:rPr>
                <w:rFonts w:ascii="Arial" w:cs="Arial" w:eastAsia="Arial" w:hAnsi="Arial"/>
                <w:sz w:val="17"/>
                <w:szCs w:val="17"/>
                <w:color w:val="0000FF"/>
              </w:rPr>
            </w:pPr>
            <w:hyperlink r:id="rId127">
              <w:r>
                <w:rPr>
                  <w:rFonts w:ascii="Arial" w:cs="Arial" w:eastAsia="Arial" w:hAnsi="Arial"/>
                  <w:sz w:val="17"/>
                  <w:szCs w:val="17"/>
                  <w:color w:val="0000FF"/>
                </w:rPr>
                <w:t>Stock Option Plan, as amended.</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10.3*</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Arial" w:cs="Arial" w:eastAsia="Arial" w:hAnsi="Arial"/>
                <w:sz w:val="17"/>
                <w:szCs w:val="17"/>
                <w:color w:val="0000FF"/>
                <w:w w:val="95"/>
              </w:rPr>
            </w:pPr>
            <w:hyperlink r:id="rId128">
              <w:r>
                <w:rPr>
                  <w:rFonts w:ascii="Arial" w:cs="Arial" w:eastAsia="Arial" w:hAnsi="Arial"/>
                  <w:sz w:val="17"/>
                  <w:szCs w:val="17"/>
                  <w:color w:val="0000FF"/>
                  <w:w w:val="95"/>
                </w:rPr>
                <w:t>2017</w:t>
              </w:r>
            </w:hyperlink>
          </w:p>
        </w:tc>
        <w:tc>
          <w:tcPr>
            <w:tcW w:w="4400" w:type="dxa"/>
            <w:vAlign w:val="bottom"/>
            <w:gridSpan w:val="22"/>
          </w:tcPr>
          <w:p>
            <w:pPr>
              <w:spacing w:after="0"/>
              <w:rPr>
                <w:rFonts w:ascii="Arial" w:cs="Arial" w:eastAsia="Arial" w:hAnsi="Arial"/>
                <w:sz w:val="17"/>
                <w:szCs w:val="17"/>
                <w:color w:val="0000FF"/>
              </w:rPr>
            </w:pPr>
            <w:hyperlink r:id="rId128">
              <w:r>
                <w:rPr>
                  <w:rFonts w:ascii="Arial" w:cs="Arial" w:eastAsia="Arial" w:hAnsi="Arial"/>
                  <w:sz w:val="17"/>
                  <w:szCs w:val="17"/>
                  <w:color w:val="0000FF"/>
                </w:rPr>
                <w:t>Equity Incentive Plan, as amended.</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10.4*</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Arial" w:cs="Arial" w:eastAsia="Arial" w:hAnsi="Arial"/>
                <w:sz w:val="17"/>
                <w:szCs w:val="17"/>
                <w:color w:val="0000FF"/>
                <w:w w:val="95"/>
              </w:rPr>
            </w:pPr>
            <w:hyperlink r:id="rId129">
              <w:r>
                <w:rPr>
                  <w:rFonts w:ascii="Arial" w:cs="Arial" w:eastAsia="Arial" w:hAnsi="Arial"/>
                  <w:sz w:val="17"/>
                  <w:szCs w:val="17"/>
                  <w:color w:val="0000FF"/>
                  <w:w w:val="95"/>
                </w:rPr>
                <w:t>2020</w:t>
              </w:r>
            </w:hyperlink>
          </w:p>
        </w:tc>
        <w:tc>
          <w:tcPr>
            <w:tcW w:w="4400" w:type="dxa"/>
            <w:vAlign w:val="bottom"/>
            <w:gridSpan w:val="22"/>
          </w:tcPr>
          <w:p>
            <w:pPr>
              <w:spacing w:after="0"/>
              <w:rPr>
                <w:rFonts w:ascii="Arial" w:cs="Arial" w:eastAsia="Arial" w:hAnsi="Arial"/>
                <w:sz w:val="17"/>
                <w:szCs w:val="17"/>
                <w:color w:val="0000FF"/>
              </w:rPr>
            </w:pPr>
            <w:hyperlink r:id="rId129">
              <w:r>
                <w:rPr>
                  <w:rFonts w:ascii="Arial" w:cs="Arial" w:eastAsia="Arial" w:hAnsi="Arial"/>
                  <w:sz w:val="17"/>
                  <w:szCs w:val="17"/>
                  <w:color w:val="0000FF"/>
                </w:rPr>
                <w:t>Equity Incentive Plan</w:t>
              </w:r>
            </w:hyperlink>
            <w:r>
              <w:rPr>
                <w:rFonts w:ascii="Arial" w:cs="Arial" w:eastAsia="Arial" w:hAnsi="Arial"/>
                <w:sz w:val="17"/>
                <w:szCs w:val="17"/>
                <w:color w:val="000000"/>
              </w:rPr>
              <w:t>.</w:t>
            </w: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10.5</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10.5*</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Arial" w:cs="Arial" w:eastAsia="Arial" w:hAnsi="Arial"/>
                <w:sz w:val="17"/>
                <w:szCs w:val="17"/>
                <w:color w:val="0000FF"/>
                <w:w w:val="95"/>
              </w:rPr>
            </w:pPr>
            <w:hyperlink r:id="rId130">
              <w:r>
                <w:rPr>
                  <w:rFonts w:ascii="Arial" w:cs="Arial" w:eastAsia="Arial" w:hAnsi="Arial"/>
                  <w:sz w:val="17"/>
                  <w:szCs w:val="17"/>
                  <w:color w:val="0000FF"/>
                  <w:w w:val="95"/>
                </w:rPr>
                <w:t>2019</w:t>
              </w:r>
            </w:hyperlink>
          </w:p>
        </w:tc>
        <w:tc>
          <w:tcPr>
            <w:tcW w:w="4400" w:type="dxa"/>
            <w:vAlign w:val="bottom"/>
            <w:gridSpan w:val="22"/>
          </w:tcPr>
          <w:p>
            <w:pPr>
              <w:spacing w:after="0"/>
              <w:rPr>
                <w:rFonts w:ascii="Arial" w:cs="Arial" w:eastAsia="Arial" w:hAnsi="Arial"/>
                <w:sz w:val="17"/>
                <w:szCs w:val="17"/>
                <w:color w:val="0000FF"/>
              </w:rPr>
            </w:pPr>
            <w:hyperlink r:id="rId130">
              <w:r>
                <w:rPr>
                  <w:rFonts w:ascii="Arial" w:cs="Arial" w:eastAsia="Arial" w:hAnsi="Arial"/>
                  <w:sz w:val="17"/>
                  <w:szCs w:val="17"/>
                  <w:color w:val="0000FF"/>
                </w:rPr>
                <w:t>Executive Bonus Plan.</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10.6*</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Arial" w:cs="Arial" w:eastAsia="Arial" w:hAnsi="Arial"/>
                <w:sz w:val="17"/>
                <w:szCs w:val="17"/>
                <w:color w:val="0000FF"/>
                <w:w w:val="95"/>
              </w:rPr>
            </w:pPr>
            <w:hyperlink r:id="rId131">
              <w:r>
                <w:rPr>
                  <w:rFonts w:ascii="Arial" w:cs="Arial" w:eastAsia="Arial" w:hAnsi="Arial"/>
                  <w:sz w:val="17"/>
                  <w:szCs w:val="17"/>
                  <w:color w:val="0000FF"/>
                  <w:w w:val="95"/>
                </w:rPr>
                <w:t>2020</w:t>
              </w:r>
            </w:hyperlink>
          </w:p>
        </w:tc>
        <w:tc>
          <w:tcPr>
            <w:tcW w:w="4400" w:type="dxa"/>
            <w:vAlign w:val="bottom"/>
            <w:gridSpan w:val="22"/>
          </w:tcPr>
          <w:p>
            <w:pPr>
              <w:spacing w:after="0"/>
              <w:rPr>
                <w:rFonts w:ascii="Arial" w:cs="Arial" w:eastAsia="Arial" w:hAnsi="Arial"/>
                <w:sz w:val="17"/>
                <w:szCs w:val="17"/>
                <w:color w:val="0000FF"/>
              </w:rPr>
            </w:pPr>
            <w:hyperlink r:id="rId131">
              <w:r>
                <w:rPr>
                  <w:rFonts w:ascii="Arial" w:cs="Arial" w:eastAsia="Arial" w:hAnsi="Arial"/>
                  <w:sz w:val="17"/>
                  <w:szCs w:val="17"/>
                  <w:color w:val="0000FF"/>
                </w:rPr>
                <w:t>Executive Bonus Plan.</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26,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10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10.7*†</w:t>
            </w:r>
          </w:p>
        </w:tc>
        <w:tc>
          <w:tcPr>
            <w:tcW w:w="400" w:type="dxa"/>
            <w:vAlign w:val="bottom"/>
            <w:gridSpan w:val="2"/>
          </w:tcPr>
          <w:p>
            <w:pPr>
              <w:ind w:left="20"/>
              <w:spacing w:after="0"/>
              <w:rPr>
                <w:rFonts w:ascii="Arial" w:cs="Arial" w:eastAsia="Arial" w:hAnsi="Arial"/>
                <w:sz w:val="17"/>
                <w:szCs w:val="17"/>
                <w:color w:val="0000FF"/>
                <w:w w:val="95"/>
              </w:rPr>
            </w:pPr>
            <w:hyperlink r:id="rId132">
              <w:r>
                <w:rPr>
                  <w:rFonts w:ascii="Arial" w:cs="Arial" w:eastAsia="Arial" w:hAnsi="Arial"/>
                  <w:sz w:val="17"/>
                  <w:szCs w:val="17"/>
                  <w:color w:val="0000FF"/>
                  <w:w w:val="95"/>
                </w:rPr>
                <w:t>2021</w:t>
              </w:r>
            </w:hyperlink>
          </w:p>
        </w:tc>
        <w:tc>
          <w:tcPr>
            <w:tcW w:w="4400" w:type="dxa"/>
            <w:vAlign w:val="bottom"/>
            <w:gridSpan w:val="22"/>
          </w:tcPr>
          <w:p>
            <w:pPr>
              <w:spacing w:after="0"/>
              <w:rPr>
                <w:rFonts w:ascii="Arial" w:cs="Arial" w:eastAsia="Arial" w:hAnsi="Arial"/>
                <w:sz w:val="17"/>
                <w:szCs w:val="17"/>
                <w:color w:val="0000FF"/>
              </w:rPr>
            </w:pPr>
            <w:hyperlink r:id="rId132">
              <w:r>
                <w:rPr>
                  <w:rFonts w:ascii="Arial" w:cs="Arial" w:eastAsia="Arial" w:hAnsi="Arial"/>
                  <w:sz w:val="17"/>
                  <w:szCs w:val="17"/>
                  <w:color w:val="0000FF"/>
                </w:rPr>
                <w:t>Executive Bonus Plan.</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10.6</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25,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10.8*</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Arial" w:cs="Arial" w:eastAsia="Arial" w:hAnsi="Arial"/>
                <w:sz w:val="17"/>
                <w:szCs w:val="17"/>
                <w:color w:val="0000FF"/>
                <w:w w:val="95"/>
              </w:rPr>
            </w:pPr>
            <w:hyperlink r:id="rId133">
              <w:r>
                <w:rPr>
                  <w:rFonts w:ascii="Arial" w:cs="Arial" w:eastAsia="Arial" w:hAnsi="Arial"/>
                  <w:sz w:val="17"/>
                  <w:szCs w:val="17"/>
                  <w:color w:val="0000FF"/>
                  <w:w w:val="95"/>
                </w:rPr>
                <w:t>2022</w:t>
              </w:r>
            </w:hyperlink>
          </w:p>
        </w:tc>
        <w:tc>
          <w:tcPr>
            <w:tcW w:w="4400" w:type="dxa"/>
            <w:vAlign w:val="bottom"/>
            <w:gridSpan w:val="22"/>
          </w:tcPr>
          <w:p>
            <w:pPr>
              <w:spacing w:after="0"/>
              <w:rPr>
                <w:rFonts w:ascii="Arial" w:cs="Arial" w:eastAsia="Arial" w:hAnsi="Arial"/>
                <w:sz w:val="17"/>
                <w:szCs w:val="17"/>
                <w:color w:val="0000FF"/>
              </w:rPr>
            </w:pPr>
            <w:hyperlink r:id="rId133">
              <w:r>
                <w:rPr>
                  <w:rFonts w:ascii="Arial" w:cs="Arial" w:eastAsia="Arial" w:hAnsi="Arial"/>
                  <w:sz w:val="17"/>
                  <w:szCs w:val="17"/>
                  <w:color w:val="0000FF"/>
                </w:rPr>
                <w:t>Executive Bonus Plan.</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10.8</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March 1, 2022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5"/>
              </w:rPr>
              <w:t>10.9*</w:t>
            </w:r>
          </w:p>
        </w:tc>
        <w:tc>
          <w:tcPr>
            <w:tcW w:w="10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Arial" w:cs="Arial" w:eastAsia="Arial" w:hAnsi="Arial"/>
                <w:sz w:val="17"/>
                <w:szCs w:val="17"/>
                <w:color w:val="0000FF"/>
                <w:w w:val="95"/>
              </w:rPr>
              <w:t>2023</w:t>
            </w:r>
          </w:p>
        </w:tc>
        <w:tc>
          <w:tcPr>
            <w:tcW w:w="4400" w:type="dxa"/>
            <w:vAlign w:val="bottom"/>
            <w:gridSpan w:val="22"/>
          </w:tcPr>
          <w:p>
            <w:pPr>
              <w:spacing w:after="0"/>
              <w:rPr>
                <w:sz w:val="20"/>
                <w:szCs w:val="20"/>
                <w:color w:val="auto"/>
              </w:rPr>
            </w:pPr>
            <w:r>
              <w:rPr>
                <w:rFonts w:ascii="Arial" w:cs="Arial" w:eastAsia="Arial" w:hAnsi="Arial"/>
                <w:sz w:val="17"/>
                <w:szCs w:val="17"/>
                <w:color w:val="0000FF"/>
              </w:rPr>
              <w:t>Executive Bonus Plan.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10.10*</w:t>
            </w:r>
          </w:p>
        </w:tc>
        <w:tc>
          <w:tcPr>
            <w:tcW w:w="100" w:type="dxa"/>
            <w:vAlign w:val="bottom"/>
          </w:tcPr>
          <w:p>
            <w:pPr>
              <w:spacing w:after="0"/>
              <w:rPr>
                <w:sz w:val="24"/>
                <w:szCs w:val="24"/>
                <w:color w:val="auto"/>
              </w:rPr>
            </w:pPr>
          </w:p>
        </w:tc>
        <w:tc>
          <w:tcPr>
            <w:tcW w:w="400" w:type="dxa"/>
            <w:vAlign w:val="bottom"/>
            <w:gridSpan w:val="2"/>
          </w:tcPr>
          <w:p>
            <w:pPr>
              <w:ind w:left="20"/>
              <w:spacing w:after="0"/>
              <w:rPr>
                <w:rFonts w:ascii="Arial" w:cs="Arial" w:eastAsia="Arial" w:hAnsi="Arial"/>
                <w:sz w:val="17"/>
                <w:szCs w:val="17"/>
                <w:color w:val="0000FF"/>
                <w:w w:val="95"/>
              </w:rPr>
            </w:pPr>
            <w:hyperlink r:id="rId134">
              <w:r>
                <w:rPr>
                  <w:rFonts w:ascii="Arial" w:cs="Arial" w:eastAsia="Arial" w:hAnsi="Arial"/>
                  <w:sz w:val="17"/>
                  <w:szCs w:val="17"/>
                  <w:color w:val="0000FF"/>
                  <w:w w:val="95"/>
                </w:rPr>
                <w:t>2020</w:t>
              </w:r>
            </w:hyperlink>
          </w:p>
        </w:tc>
        <w:tc>
          <w:tcPr>
            <w:tcW w:w="4400" w:type="dxa"/>
            <w:vAlign w:val="bottom"/>
            <w:gridSpan w:val="22"/>
          </w:tcPr>
          <w:p>
            <w:pPr>
              <w:spacing w:after="0"/>
              <w:rPr>
                <w:rFonts w:ascii="Arial" w:cs="Arial" w:eastAsia="Arial" w:hAnsi="Arial"/>
                <w:sz w:val="17"/>
                <w:szCs w:val="17"/>
                <w:color w:val="0000FF"/>
              </w:rPr>
            </w:pPr>
            <w:hyperlink r:id="rId134">
              <w:r>
                <w:rPr>
                  <w:rFonts w:ascii="Arial" w:cs="Arial" w:eastAsia="Arial" w:hAnsi="Arial"/>
                  <w:sz w:val="17"/>
                  <w:szCs w:val="17"/>
                  <w:color w:val="0000FF"/>
                </w:rPr>
                <w:t>Employee Stock Purchase Plan, and form of subscription</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10.6</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0000FF"/>
              <w:bottom w:val="single" w:sz="8" w:color="0000FF"/>
            </w:tcBorders>
            <w:gridSpan w:val="2"/>
          </w:tcPr>
          <w:p>
            <w:pPr>
              <w:spacing w:after="0" w:line="183" w:lineRule="exact"/>
              <w:rPr>
                <w:rFonts w:ascii="Arial" w:cs="Arial" w:eastAsia="Arial" w:hAnsi="Arial"/>
                <w:sz w:val="17"/>
                <w:szCs w:val="17"/>
                <w:color w:val="0000FF"/>
                <w:w w:val="86"/>
              </w:rPr>
            </w:pPr>
            <w:hyperlink r:id="rId134">
              <w:r>
                <w:rPr>
                  <w:rFonts w:ascii="Arial" w:cs="Arial" w:eastAsia="Arial" w:hAnsi="Arial"/>
                  <w:sz w:val="17"/>
                  <w:szCs w:val="17"/>
                  <w:color w:val="0000FF"/>
                  <w:w w:val="86"/>
                </w:rPr>
                <w:t>agreement.</w:t>
              </w:r>
            </w:hyperlink>
          </w:p>
        </w:tc>
        <w:tc>
          <w:tcPr>
            <w:tcW w:w="3520" w:type="dxa"/>
            <w:vAlign w:val="bottom"/>
            <w:tcBorders>
              <w:top w:val="single" w:sz="8" w:color="0000FF"/>
            </w:tcBorders>
            <w:gridSpan w:val="13"/>
          </w:tcPr>
          <w:p>
            <w:pPr>
              <w:spacing w:after="0"/>
              <w:rPr>
                <w:sz w:val="15"/>
                <w:szCs w:val="15"/>
                <w:color w:val="auto"/>
              </w:rPr>
            </w:pPr>
          </w:p>
        </w:tc>
        <w:tc>
          <w:tcPr>
            <w:tcW w:w="500" w:type="dxa"/>
            <w:vAlign w:val="bottom"/>
            <w:gridSpan w:val="8"/>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10"/>
          </w:tcPr>
          <w:p>
            <w:pPr>
              <w:spacing w:after="0"/>
              <w:rPr>
                <w:rFonts w:ascii="Arial" w:cs="Arial" w:eastAsia="Arial" w:hAnsi="Arial"/>
                <w:sz w:val="17"/>
                <w:szCs w:val="17"/>
                <w:color w:val="0000FF"/>
                <w:w w:val="91"/>
              </w:rPr>
            </w:pPr>
            <w:hyperlink r:id="rId135">
              <w:r>
                <w:rPr>
                  <w:rFonts w:ascii="Arial" w:cs="Arial" w:eastAsia="Arial" w:hAnsi="Arial"/>
                  <w:sz w:val="17"/>
                  <w:szCs w:val="17"/>
                  <w:color w:val="0000FF"/>
                  <w:w w:val="91"/>
                </w:rPr>
                <w:t>Executive Deferred Compensation Plan.</w:t>
              </w:r>
            </w:hyperlink>
          </w:p>
        </w:tc>
        <w:tc>
          <w:tcPr>
            <w:tcW w:w="1980" w:type="dxa"/>
            <w:vAlign w:val="bottom"/>
            <w:gridSpan w:val="13"/>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10.7</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3"/>
          </w:tcPr>
          <w:p>
            <w:pPr>
              <w:spacing w:after="0"/>
              <w:rPr>
                <w:rFonts w:ascii="Arial" w:cs="Arial" w:eastAsia="Arial" w:hAnsi="Arial"/>
                <w:sz w:val="17"/>
                <w:szCs w:val="17"/>
                <w:color w:val="0000FF"/>
                <w:w w:val="99"/>
              </w:rPr>
            </w:pPr>
            <w:hyperlink r:id="rId136">
              <w:r>
                <w:rPr>
                  <w:rFonts w:ascii="Arial" w:cs="Arial" w:eastAsia="Arial" w:hAnsi="Arial"/>
                  <w:sz w:val="17"/>
                  <w:szCs w:val="17"/>
                  <w:color w:val="0000FF"/>
                  <w:w w:val="99"/>
                </w:rPr>
                <w:t>Amended and Restated Employment Agreement, effective as of</w:t>
              </w:r>
            </w:hyperlink>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10.7</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12"/>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23"/>
          </w:tcPr>
          <w:p>
            <w:pPr>
              <w:spacing w:after="0" w:line="183" w:lineRule="exact"/>
              <w:rPr>
                <w:rFonts w:ascii="Arial" w:cs="Arial" w:eastAsia="Arial" w:hAnsi="Arial"/>
                <w:sz w:val="17"/>
                <w:szCs w:val="17"/>
                <w:color w:val="0000FF"/>
                <w:w w:val="95"/>
              </w:rPr>
            </w:pPr>
            <w:hyperlink r:id="rId136">
              <w:r>
                <w:rPr>
                  <w:rFonts w:ascii="Arial" w:cs="Arial" w:eastAsia="Arial" w:hAnsi="Arial"/>
                  <w:sz w:val="17"/>
                  <w:szCs w:val="17"/>
                  <w:color w:val="0000FF"/>
                  <w:w w:val="95"/>
                </w:rPr>
                <w:t>December 18, 2017, by and between the Registrant and Rajeev K.</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0000FF"/>
              <w:bottom w:val="single" w:sz="8" w:color="0000FF"/>
            </w:tcBorders>
          </w:tcPr>
          <w:p>
            <w:pPr>
              <w:spacing w:after="0" w:line="183" w:lineRule="exact"/>
              <w:rPr>
                <w:rFonts w:ascii="Arial" w:cs="Arial" w:eastAsia="Arial" w:hAnsi="Arial"/>
                <w:sz w:val="17"/>
                <w:szCs w:val="17"/>
                <w:color w:val="0000FF"/>
                <w:w w:val="88"/>
              </w:rPr>
            </w:pPr>
            <w:hyperlink r:id="rId136">
              <w:r>
                <w:rPr>
                  <w:rFonts w:ascii="Arial" w:cs="Arial" w:eastAsia="Arial" w:hAnsi="Arial"/>
                  <w:sz w:val="17"/>
                  <w:szCs w:val="17"/>
                  <w:color w:val="0000FF"/>
                  <w:w w:val="88"/>
                </w:rPr>
                <w:t>Goel.</w:t>
              </w:r>
            </w:hyperlink>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Borders>
              <w:bottom w:val="single" w:sz="8" w:color="0000FF"/>
            </w:tcBorders>
            <w:gridSpan w:val="18"/>
          </w:tcPr>
          <w:p>
            <w:pPr>
              <w:spacing w:after="0"/>
              <w:rPr>
                <w:rFonts w:ascii="Arial" w:cs="Arial" w:eastAsia="Arial" w:hAnsi="Arial"/>
                <w:sz w:val="17"/>
                <w:szCs w:val="17"/>
                <w:color w:val="0000FF"/>
                <w:w w:val="90"/>
              </w:rPr>
            </w:pPr>
            <w:hyperlink r:id="rId137">
              <w:r>
                <w:rPr>
                  <w:rFonts w:ascii="Arial" w:cs="Arial" w:eastAsia="Arial" w:hAnsi="Arial"/>
                  <w:sz w:val="17"/>
                  <w:szCs w:val="17"/>
                  <w:color w:val="0000FF"/>
                  <w:w w:val="90"/>
                </w:rPr>
                <w:t>Offer Letter, effective as of October 1, 2016, by and between the</w:t>
              </w:r>
            </w:hyperlink>
          </w:p>
        </w:tc>
        <w:tc>
          <w:tcPr>
            <w:tcW w:w="360" w:type="dxa"/>
            <w:vAlign w:val="bottom"/>
            <w:gridSpan w:val="5"/>
          </w:tcPr>
          <w:p>
            <w:pPr>
              <w:spacing w:after="0"/>
              <w:rPr>
                <w:sz w:val="24"/>
                <w:szCs w:val="2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10.8</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bottom w:val="single" w:sz="8" w:color="0000FF"/>
            </w:tcBorders>
            <w:gridSpan w:val="12"/>
          </w:tcPr>
          <w:p>
            <w:pPr>
              <w:spacing w:after="0" w:line="183" w:lineRule="exact"/>
              <w:rPr>
                <w:rFonts w:ascii="Arial" w:cs="Arial" w:eastAsia="Arial" w:hAnsi="Arial"/>
                <w:sz w:val="17"/>
                <w:szCs w:val="17"/>
                <w:color w:val="0000FF"/>
                <w:w w:val="89"/>
              </w:rPr>
            </w:pPr>
            <w:hyperlink r:id="rId137">
              <w:r>
                <w:rPr>
                  <w:rFonts w:ascii="Arial" w:cs="Arial" w:eastAsia="Arial" w:hAnsi="Arial"/>
                  <w:sz w:val="17"/>
                  <w:szCs w:val="17"/>
                  <w:color w:val="0000FF"/>
                  <w:w w:val="89"/>
                </w:rPr>
                <w:t>Registrant and Amar K. Goel, as amended.</w:t>
              </w:r>
            </w:hyperlink>
          </w:p>
        </w:tc>
        <w:tc>
          <w:tcPr>
            <w:tcW w:w="1840" w:type="dxa"/>
            <w:vAlign w:val="bottom"/>
            <w:gridSpan w:val="11"/>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2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4680" w:type="dxa"/>
            <w:vAlign w:val="bottom"/>
            <w:gridSpan w:val="3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39"/>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82"/>
        </w:trPr>
        <w:tc>
          <w:tcPr>
            <w:tcW w:w="1000" w:type="dxa"/>
            <w:vAlign w:val="bottom"/>
          </w:tcPr>
          <w:p>
            <w:pPr>
              <w:jc w:val="center"/>
              <w:spacing w:after="0" w:line="183" w:lineRule="exact"/>
              <w:rPr>
                <w:sz w:val="20"/>
                <w:szCs w:val="20"/>
                <w:color w:val="auto"/>
              </w:rPr>
            </w:pPr>
            <w:r>
              <w:rPr>
                <w:rFonts w:ascii="Arial" w:cs="Arial" w:eastAsia="Arial" w:hAnsi="Arial"/>
                <w:sz w:val="17"/>
                <w:szCs w:val="17"/>
                <w:color w:val="auto"/>
                <w:w w:val="93"/>
              </w:rPr>
              <w:t>10.14*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rFonts w:ascii="Arial" w:cs="Arial" w:eastAsia="Arial" w:hAnsi="Arial"/>
                <w:sz w:val="17"/>
                <w:szCs w:val="17"/>
                <w:color w:val="0000FF"/>
                <w:w w:val="93"/>
              </w:rPr>
            </w:pPr>
            <w:hyperlink r:id="rId139">
              <w:r>
                <w:rPr>
                  <w:rFonts w:ascii="Arial" w:cs="Arial" w:eastAsia="Arial" w:hAnsi="Arial"/>
                  <w:sz w:val="17"/>
                  <w:szCs w:val="17"/>
                  <w:color w:val="0000FF"/>
                  <w:w w:val="93"/>
                </w:rPr>
                <w:t>Employment Agreement, effective as of November 7,2011, by and</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80" w:type="dxa"/>
            <w:vAlign w:val="bottom"/>
            <w:tcBorders>
              <w:top w:val="single" w:sz="8" w:color="0000FF"/>
              <w:bottom w:val="single" w:sz="8" w:color="0000FF"/>
            </w:tcBorders>
            <w:gridSpan w:val="13"/>
          </w:tcPr>
          <w:p>
            <w:pPr>
              <w:spacing w:after="0" w:line="183" w:lineRule="exact"/>
              <w:rPr>
                <w:rFonts w:ascii="Arial" w:cs="Arial" w:eastAsia="Arial" w:hAnsi="Arial"/>
                <w:sz w:val="17"/>
                <w:szCs w:val="17"/>
                <w:color w:val="0000FF"/>
                <w:w w:val="88"/>
              </w:rPr>
            </w:pPr>
            <w:hyperlink r:id="rId139">
              <w:r>
                <w:rPr>
                  <w:rFonts w:ascii="Arial" w:cs="Arial" w:eastAsia="Arial" w:hAnsi="Arial"/>
                  <w:sz w:val="17"/>
                  <w:szCs w:val="17"/>
                  <w:color w:val="0000FF"/>
                  <w:w w:val="88"/>
                </w:rPr>
                <w:t>between the Registrant and Steven Pantelick, as amended.</w:t>
              </w:r>
            </w:hyperlink>
          </w:p>
        </w:tc>
        <w:tc>
          <w:tcPr>
            <w:tcW w:w="560" w:type="dxa"/>
            <w:vAlign w:val="bottom"/>
            <w:tcBorders>
              <w:top w:val="single" w:sz="8" w:color="0000FF"/>
            </w:tcBorders>
            <w:gridSpan w:val="12"/>
          </w:tcPr>
          <w:p>
            <w:pPr>
              <w:spacing w:after="0"/>
              <w:rPr>
                <w:sz w:val="15"/>
                <w:szCs w:val="15"/>
                <w:color w:val="auto"/>
              </w:rPr>
            </w:pPr>
          </w:p>
        </w:tc>
        <w:tc>
          <w:tcPr>
            <w:tcW w:w="140" w:type="dxa"/>
            <w:vAlign w:val="bottom"/>
            <w:gridSpan w:val="7"/>
          </w:tcPr>
          <w:p>
            <w:pPr>
              <w:spacing w:after="0"/>
              <w:rPr>
                <w:sz w:val="15"/>
                <w:szCs w:val="15"/>
                <w:color w:val="auto"/>
              </w:rPr>
            </w:pPr>
          </w:p>
        </w:tc>
      </w:tr>
      <w:tr>
        <w:trPr>
          <w:trHeight w:val="291"/>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4"/>
          </w:tcPr>
          <w:p>
            <w:pPr>
              <w:spacing w:after="0"/>
              <w:rPr>
                <w:rFonts w:ascii="Arial" w:cs="Arial" w:eastAsia="Arial" w:hAnsi="Arial"/>
                <w:sz w:val="17"/>
                <w:szCs w:val="17"/>
                <w:color w:val="0000FF"/>
                <w:w w:val="89"/>
              </w:rPr>
            </w:pPr>
            <w:hyperlink r:id="rId140">
              <w:r>
                <w:rPr>
                  <w:rFonts w:ascii="Arial" w:cs="Arial" w:eastAsia="Arial" w:hAnsi="Arial"/>
                  <w:sz w:val="17"/>
                  <w:szCs w:val="17"/>
                  <w:color w:val="0000FF"/>
                  <w:w w:val="89"/>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0" w:type="dxa"/>
            <w:vAlign w:val="bottom"/>
            <w:tcBorders>
              <w:bottom w:val="single" w:sz="8" w:color="0000FF"/>
            </w:tcBorders>
            <w:gridSpan w:val="9"/>
          </w:tcPr>
          <w:p>
            <w:pPr>
              <w:spacing w:after="0" w:line="183" w:lineRule="exact"/>
              <w:rPr>
                <w:rFonts w:ascii="Arial" w:cs="Arial" w:eastAsia="Arial" w:hAnsi="Arial"/>
                <w:sz w:val="17"/>
                <w:szCs w:val="17"/>
                <w:color w:val="0000FF"/>
                <w:w w:val="89"/>
              </w:rPr>
            </w:pPr>
            <w:hyperlink r:id="rId140">
              <w:r>
                <w:rPr>
                  <w:rFonts w:ascii="Arial" w:cs="Arial" w:eastAsia="Arial" w:hAnsi="Arial"/>
                  <w:sz w:val="17"/>
                  <w:szCs w:val="17"/>
                  <w:color w:val="0000FF"/>
                  <w:w w:val="89"/>
                </w:rPr>
                <w:t>between the Registrant and Rajeev K. Goel.</w:t>
              </w:r>
            </w:hyperlink>
          </w:p>
        </w:tc>
        <w:tc>
          <w:tcPr>
            <w:tcW w:w="1680" w:type="dxa"/>
            <w:vAlign w:val="bottom"/>
            <w:gridSpan w:val="23"/>
          </w:tcPr>
          <w:p>
            <w:pPr>
              <w:spacing w:after="0"/>
              <w:rPr>
                <w:sz w:val="15"/>
                <w:szCs w:val="15"/>
                <w:color w:val="auto"/>
              </w:rPr>
            </w:pPr>
          </w:p>
        </w:tc>
      </w:tr>
      <w:tr>
        <w:trPr>
          <w:trHeight w:val="291"/>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4"/>
          </w:tcPr>
          <w:p>
            <w:pPr>
              <w:spacing w:after="0"/>
              <w:rPr>
                <w:rFonts w:ascii="Arial" w:cs="Arial" w:eastAsia="Arial" w:hAnsi="Arial"/>
                <w:sz w:val="17"/>
                <w:szCs w:val="17"/>
                <w:color w:val="0000FF"/>
                <w:w w:val="89"/>
              </w:rPr>
            </w:pPr>
            <w:hyperlink r:id="rId141">
              <w:r>
                <w:rPr>
                  <w:rFonts w:ascii="Arial" w:cs="Arial" w:eastAsia="Arial" w:hAnsi="Arial"/>
                  <w:sz w:val="17"/>
                  <w:szCs w:val="17"/>
                  <w:color w:val="0000FF"/>
                  <w:w w:val="89"/>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bottom w:val="single" w:sz="8" w:color="0000FF"/>
            </w:tcBorders>
            <w:gridSpan w:val="8"/>
          </w:tcPr>
          <w:p>
            <w:pPr>
              <w:spacing w:after="0" w:line="183" w:lineRule="exact"/>
              <w:rPr>
                <w:rFonts w:ascii="Arial" w:cs="Arial" w:eastAsia="Arial" w:hAnsi="Arial"/>
                <w:sz w:val="17"/>
                <w:szCs w:val="17"/>
                <w:color w:val="0000FF"/>
                <w:w w:val="91"/>
              </w:rPr>
            </w:pPr>
            <w:hyperlink r:id="rId141">
              <w:r>
                <w:rPr>
                  <w:rFonts w:ascii="Arial" w:cs="Arial" w:eastAsia="Arial" w:hAnsi="Arial"/>
                  <w:sz w:val="17"/>
                  <w:szCs w:val="17"/>
                  <w:color w:val="0000FF"/>
                  <w:w w:val="91"/>
                </w:rPr>
                <w:t>between the Registrant and Amar K. Goel.</w:t>
              </w:r>
            </w:hyperlink>
          </w:p>
        </w:tc>
        <w:tc>
          <w:tcPr>
            <w:tcW w:w="1740" w:type="dxa"/>
            <w:vAlign w:val="bottom"/>
            <w:gridSpan w:val="24"/>
          </w:tcPr>
          <w:p>
            <w:pPr>
              <w:spacing w:after="0"/>
              <w:rPr>
                <w:sz w:val="15"/>
                <w:szCs w:val="15"/>
                <w:color w:val="auto"/>
              </w:rPr>
            </w:pPr>
          </w:p>
        </w:tc>
      </w:tr>
      <w:tr>
        <w:trPr>
          <w:trHeight w:val="291"/>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4"/>
          </w:tcPr>
          <w:p>
            <w:pPr>
              <w:spacing w:after="0"/>
              <w:rPr>
                <w:rFonts w:ascii="Arial" w:cs="Arial" w:eastAsia="Arial" w:hAnsi="Arial"/>
                <w:sz w:val="17"/>
                <w:szCs w:val="17"/>
                <w:color w:val="0000FF"/>
                <w:w w:val="89"/>
              </w:rPr>
            </w:pPr>
            <w:hyperlink r:id="rId142">
              <w:r>
                <w:rPr>
                  <w:rFonts w:ascii="Arial" w:cs="Arial" w:eastAsia="Arial" w:hAnsi="Arial"/>
                  <w:sz w:val="17"/>
                  <w:szCs w:val="17"/>
                  <w:color w:val="0000FF"/>
                  <w:w w:val="89"/>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rFonts w:ascii="Arial" w:cs="Arial" w:eastAsia="Arial" w:hAnsi="Arial"/>
                <w:sz w:val="17"/>
                <w:szCs w:val="17"/>
                <w:color w:val="0000FF"/>
              </w:rPr>
            </w:pPr>
            <w:hyperlink r:id="rId142">
              <w:r>
                <w:rPr>
                  <w:rFonts w:ascii="Arial" w:cs="Arial" w:eastAsia="Arial" w:hAnsi="Arial"/>
                  <w:sz w:val="17"/>
                  <w:szCs w:val="17"/>
                  <w:color w:val="0000FF"/>
                </w:rPr>
                <w:t>between the Registrant and Steven Pantelick.</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4"/>
          </w:tcPr>
          <w:p>
            <w:pPr>
              <w:spacing w:after="0"/>
              <w:rPr>
                <w:rFonts w:ascii="Arial" w:cs="Arial" w:eastAsia="Arial" w:hAnsi="Arial"/>
                <w:sz w:val="17"/>
                <w:szCs w:val="17"/>
                <w:color w:val="0000FF"/>
                <w:w w:val="89"/>
              </w:rPr>
            </w:pPr>
            <w:hyperlink r:id="rId143">
              <w:r>
                <w:rPr>
                  <w:rFonts w:ascii="Arial" w:cs="Arial" w:eastAsia="Arial" w:hAnsi="Arial"/>
                  <w:sz w:val="17"/>
                  <w:szCs w:val="17"/>
                  <w:color w:val="0000FF"/>
                  <w:w w:val="89"/>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tcBorders>
              <w:bottom w:val="single" w:sz="8" w:color="0000FF"/>
            </w:tcBorders>
            <w:gridSpan w:val="7"/>
          </w:tcPr>
          <w:p>
            <w:pPr>
              <w:spacing w:after="0" w:line="183" w:lineRule="exact"/>
              <w:rPr>
                <w:rFonts w:ascii="Arial" w:cs="Arial" w:eastAsia="Arial" w:hAnsi="Arial"/>
                <w:sz w:val="17"/>
                <w:szCs w:val="17"/>
                <w:color w:val="0000FF"/>
                <w:w w:val="90"/>
              </w:rPr>
            </w:pPr>
            <w:hyperlink r:id="rId143">
              <w:r>
                <w:rPr>
                  <w:rFonts w:ascii="Arial" w:cs="Arial" w:eastAsia="Arial" w:hAnsi="Arial"/>
                  <w:sz w:val="17"/>
                  <w:szCs w:val="17"/>
                  <w:color w:val="0000FF"/>
                  <w:w w:val="90"/>
                </w:rPr>
                <w:t>between the Registrant and Jeffrey Hirsch.</w:t>
              </w:r>
            </w:hyperlink>
          </w:p>
        </w:tc>
        <w:tc>
          <w:tcPr>
            <w:tcW w:w="1760" w:type="dxa"/>
            <w:vAlign w:val="bottom"/>
            <w:gridSpan w:val="25"/>
          </w:tcPr>
          <w:p>
            <w:pPr>
              <w:spacing w:after="0"/>
              <w:rPr>
                <w:sz w:val="15"/>
                <w:szCs w:val="15"/>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bottom w:val="single" w:sz="8" w:color="0000FF"/>
            </w:tcBorders>
            <w:gridSpan w:val="14"/>
          </w:tcPr>
          <w:p>
            <w:pPr>
              <w:spacing w:after="0"/>
              <w:rPr>
                <w:rFonts w:ascii="Arial" w:cs="Arial" w:eastAsia="Arial" w:hAnsi="Arial"/>
                <w:sz w:val="17"/>
                <w:szCs w:val="17"/>
                <w:color w:val="0000FF"/>
                <w:w w:val="89"/>
              </w:rPr>
            </w:pPr>
            <w:hyperlink r:id="rId144">
              <w:r>
                <w:rPr>
                  <w:rFonts w:ascii="Arial" w:cs="Arial" w:eastAsia="Arial" w:hAnsi="Arial"/>
                  <w:sz w:val="17"/>
                  <w:szCs w:val="17"/>
                  <w:color w:val="0000FF"/>
                  <w:w w:val="89"/>
                </w:rPr>
                <w:t>Retention Agreement, dated as of January 29, 2021, by and</w:t>
              </w:r>
            </w:hyperlink>
          </w:p>
        </w:tc>
        <w:tc>
          <w:tcPr>
            <w:tcW w:w="620" w:type="dxa"/>
            <w:vAlign w:val="bottom"/>
            <w:gridSpan w:val="18"/>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rFonts w:ascii="Arial" w:cs="Arial" w:eastAsia="Arial" w:hAnsi="Arial"/>
                <w:sz w:val="17"/>
                <w:szCs w:val="17"/>
                <w:color w:val="0000FF"/>
              </w:rPr>
            </w:pPr>
            <w:hyperlink r:id="rId144">
              <w:r>
                <w:rPr>
                  <w:rFonts w:ascii="Arial" w:cs="Arial" w:eastAsia="Arial" w:hAnsi="Arial"/>
                  <w:sz w:val="17"/>
                  <w:szCs w:val="17"/>
                  <w:color w:val="0000FF"/>
                </w:rPr>
                <w:t>between the Registrant and Mukul Kumar.</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00" w:type="dxa"/>
            <w:vAlign w:val="bottom"/>
          </w:tcPr>
          <w:p>
            <w:pPr>
              <w:jc w:val="center"/>
              <w:spacing w:after="0"/>
              <w:rPr>
                <w:sz w:val="20"/>
                <w:szCs w:val="20"/>
                <w:color w:val="auto"/>
              </w:rPr>
            </w:pPr>
            <w:r>
              <w:rPr>
                <w:rFonts w:ascii="Arial" w:cs="Arial" w:eastAsia="Arial" w:hAnsi="Arial"/>
                <w:sz w:val="17"/>
                <w:szCs w:val="17"/>
                <w:color w:val="auto"/>
                <w:w w:val="89"/>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bottom w:val="single" w:sz="8" w:color="0000FF"/>
            </w:tcBorders>
            <w:gridSpan w:val="27"/>
          </w:tcPr>
          <w:p>
            <w:pPr>
              <w:spacing w:after="0"/>
              <w:rPr>
                <w:rFonts w:ascii="Arial" w:cs="Arial" w:eastAsia="Arial" w:hAnsi="Arial"/>
                <w:sz w:val="17"/>
                <w:szCs w:val="17"/>
                <w:color w:val="0000FF"/>
                <w:w w:val="90"/>
              </w:rPr>
            </w:pPr>
            <w:hyperlink r:id="rId145">
              <w:r>
                <w:rPr>
                  <w:rFonts w:ascii="Arial" w:cs="Arial" w:eastAsia="Arial" w:hAnsi="Arial"/>
                  <w:sz w:val="17"/>
                  <w:szCs w:val="17"/>
                  <w:color w:val="0000FF"/>
                  <w:w w:val="90"/>
                </w:rPr>
                <w:t>Third Amended and Restated Loan and Security Agreement, dated</w:t>
              </w:r>
            </w:hyperlink>
          </w:p>
        </w:tc>
        <w:tc>
          <w:tcPr>
            <w:tcW w:w="100" w:type="dxa"/>
            <w:vAlign w:val="bottom"/>
            <w:gridSpan w:val="5"/>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rFonts w:ascii="Arial" w:cs="Arial" w:eastAsia="Arial" w:hAnsi="Arial"/>
                <w:sz w:val="17"/>
                <w:szCs w:val="17"/>
                <w:color w:val="0000FF"/>
                <w:w w:val="99"/>
              </w:rPr>
            </w:pPr>
            <w:hyperlink r:id="rId145">
              <w:r>
                <w:rPr>
                  <w:rFonts w:ascii="Arial" w:cs="Arial" w:eastAsia="Arial" w:hAnsi="Arial"/>
                  <w:sz w:val="17"/>
                  <w:szCs w:val="17"/>
                  <w:color w:val="0000FF"/>
                  <w:w w:val="99"/>
                </w:rPr>
                <w:t>November 7, 2017, by and between the Registrant and Silicon</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tcBorders>
            <w:gridSpan w:val="19"/>
          </w:tcPr>
          <w:p>
            <w:pPr>
              <w:spacing w:after="0" w:line="183" w:lineRule="exact"/>
              <w:rPr>
                <w:rFonts w:ascii="Arial" w:cs="Arial" w:eastAsia="Arial" w:hAnsi="Arial"/>
                <w:sz w:val="17"/>
                <w:szCs w:val="17"/>
                <w:color w:val="0000FF"/>
              </w:rPr>
            </w:pPr>
            <w:hyperlink r:id="rId145">
              <w:r>
                <w:rPr>
                  <w:rFonts w:ascii="Arial" w:cs="Arial" w:eastAsia="Arial" w:hAnsi="Arial"/>
                  <w:sz w:val="17"/>
                  <w:szCs w:val="17"/>
                  <w:color w:val="0000FF"/>
                </w:rPr>
                <w:t>Valley Bank, as amended.</w:t>
              </w:r>
            </w:hyperlink>
          </w:p>
        </w:tc>
        <w:tc>
          <w:tcPr>
            <w:tcW w:w="440" w:type="dxa"/>
            <w:vAlign w:val="bottom"/>
            <w:gridSpan w:val="13"/>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Arial" w:cs="Arial" w:eastAsia="Arial" w:hAnsi="Arial"/>
                <w:sz w:val="17"/>
                <w:szCs w:val="17"/>
                <w:color w:val="auto"/>
                <w:w w:val="89"/>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tcBorders>
              <w:bottom w:val="single" w:sz="8" w:color="0000FF"/>
            </w:tcBorders>
            <w:gridSpan w:val="22"/>
          </w:tcPr>
          <w:p>
            <w:pPr>
              <w:spacing w:after="0"/>
              <w:rPr>
                <w:rFonts w:ascii="Arial" w:cs="Arial" w:eastAsia="Arial" w:hAnsi="Arial"/>
                <w:sz w:val="17"/>
                <w:szCs w:val="17"/>
                <w:color w:val="0000FF"/>
                <w:w w:val="90"/>
              </w:rPr>
            </w:pPr>
            <w:hyperlink r:id="rId146">
              <w:r>
                <w:rPr>
                  <w:rFonts w:ascii="Arial" w:cs="Arial" w:eastAsia="Arial" w:hAnsi="Arial"/>
                  <w:sz w:val="17"/>
                  <w:szCs w:val="17"/>
                  <w:color w:val="0000FF"/>
                  <w:w w:val="90"/>
                </w:rPr>
                <w:t>Second Amendment to Third Amended and Restated Loan and</w:t>
              </w:r>
            </w:hyperlink>
          </w:p>
        </w:tc>
        <w:tc>
          <w:tcPr>
            <w:tcW w:w="380" w:type="dxa"/>
            <w:vAlign w:val="bottom"/>
            <w:gridSpan w:val="10"/>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bottom w:val="single" w:sz="8" w:color="0000FF"/>
            </w:tcBorders>
            <w:gridSpan w:val="21"/>
          </w:tcPr>
          <w:p>
            <w:pPr>
              <w:spacing w:after="0" w:line="183" w:lineRule="exact"/>
              <w:rPr>
                <w:rFonts w:ascii="Arial" w:cs="Arial" w:eastAsia="Arial" w:hAnsi="Arial"/>
                <w:sz w:val="17"/>
                <w:szCs w:val="17"/>
                <w:color w:val="0000FF"/>
                <w:w w:val="90"/>
              </w:rPr>
            </w:pPr>
            <w:hyperlink r:id="rId146">
              <w:r>
                <w:rPr>
                  <w:rFonts w:ascii="Arial" w:cs="Arial" w:eastAsia="Arial" w:hAnsi="Arial"/>
                  <w:sz w:val="17"/>
                  <w:szCs w:val="17"/>
                  <w:color w:val="0000FF"/>
                  <w:w w:val="90"/>
                </w:rPr>
                <w:t>Security Agreement, dated March 4, 2021, by and between the</w:t>
              </w:r>
            </w:hyperlink>
          </w:p>
        </w:tc>
        <w:tc>
          <w:tcPr>
            <w:tcW w:w="400" w:type="dxa"/>
            <w:vAlign w:val="bottom"/>
            <w:gridSpan w:val="11"/>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rFonts w:ascii="Arial" w:cs="Arial" w:eastAsia="Arial" w:hAnsi="Arial"/>
                <w:sz w:val="17"/>
                <w:szCs w:val="17"/>
                <w:color w:val="0000FF"/>
              </w:rPr>
            </w:pPr>
            <w:hyperlink r:id="rId146">
              <w:r>
                <w:rPr>
                  <w:rFonts w:ascii="Arial" w:cs="Arial" w:eastAsia="Arial" w:hAnsi="Arial"/>
                  <w:sz w:val="17"/>
                  <w:szCs w:val="17"/>
                  <w:color w:val="0000FF"/>
                </w:rPr>
                <w:t>Registrant and Silicon Valley Bank.</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Arial" w:cs="Arial" w:eastAsia="Arial" w:hAnsi="Arial"/>
                <w:sz w:val="17"/>
                <w:szCs w:val="17"/>
                <w:color w:val="auto"/>
                <w:w w:val="89"/>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17"/>
          </w:tcPr>
          <w:p>
            <w:pPr>
              <w:spacing w:after="0"/>
              <w:rPr>
                <w:rFonts w:ascii="Arial" w:cs="Arial" w:eastAsia="Arial" w:hAnsi="Arial"/>
                <w:sz w:val="17"/>
                <w:szCs w:val="17"/>
                <w:color w:val="0000FF"/>
                <w:w w:val="91"/>
              </w:rPr>
            </w:pPr>
            <w:hyperlink r:id="rId147">
              <w:r>
                <w:rPr>
                  <w:rFonts w:ascii="Arial" w:cs="Arial" w:eastAsia="Arial" w:hAnsi="Arial"/>
                  <w:sz w:val="17"/>
                  <w:szCs w:val="17"/>
                  <w:color w:val="0000FF"/>
                  <w:w w:val="91"/>
                </w:rPr>
                <w:t>Third Amendment to Third Amended and Restated Loan and</w:t>
              </w:r>
            </w:hyperlink>
          </w:p>
        </w:tc>
        <w:tc>
          <w:tcPr>
            <w:tcW w:w="500" w:type="dxa"/>
            <w:vAlign w:val="bottom"/>
            <w:gridSpan w:val="15"/>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bottom w:val="single" w:sz="8" w:color="0000FF"/>
            </w:tcBorders>
            <w:gridSpan w:val="18"/>
          </w:tcPr>
          <w:p>
            <w:pPr>
              <w:spacing w:after="0" w:line="183" w:lineRule="exact"/>
              <w:rPr>
                <w:rFonts w:ascii="Arial" w:cs="Arial" w:eastAsia="Arial" w:hAnsi="Arial"/>
                <w:sz w:val="17"/>
                <w:szCs w:val="17"/>
                <w:color w:val="0000FF"/>
                <w:w w:val="91"/>
              </w:rPr>
            </w:pPr>
            <w:hyperlink r:id="rId147">
              <w:r>
                <w:rPr>
                  <w:rFonts w:ascii="Arial" w:cs="Arial" w:eastAsia="Arial" w:hAnsi="Arial"/>
                  <w:sz w:val="17"/>
                  <w:szCs w:val="17"/>
                  <w:color w:val="0000FF"/>
                  <w:w w:val="91"/>
                </w:rPr>
                <w:t>Security Agreement, dated April 6, 2021, by and between the</w:t>
              </w:r>
            </w:hyperlink>
          </w:p>
        </w:tc>
        <w:tc>
          <w:tcPr>
            <w:tcW w:w="480" w:type="dxa"/>
            <w:vAlign w:val="bottom"/>
            <w:gridSpan w:val="14"/>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rFonts w:ascii="Arial" w:cs="Arial" w:eastAsia="Arial" w:hAnsi="Arial"/>
                <w:sz w:val="17"/>
                <w:szCs w:val="17"/>
                <w:color w:val="0000FF"/>
              </w:rPr>
            </w:pPr>
            <w:hyperlink r:id="rId147">
              <w:r>
                <w:rPr>
                  <w:rFonts w:ascii="Arial" w:cs="Arial" w:eastAsia="Arial" w:hAnsi="Arial"/>
                  <w:sz w:val="17"/>
                  <w:szCs w:val="17"/>
                  <w:color w:val="0000FF"/>
                </w:rPr>
                <w:t>Company and Silicon Valley Bank.</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Arial" w:cs="Arial" w:eastAsia="Arial" w:hAnsi="Arial"/>
                <w:sz w:val="17"/>
                <w:szCs w:val="17"/>
                <w:color w:val="auto"/>
                <w:w w:val="89"/>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000FF"/>
            </w:tcBorders>
            <w:gridSpan w:val="20"/>
          </w:tcPr>
          <w:p>
            <w:pPr>
              <w:spacing w:after="0"/>
              <w:rPr>
                <w:rFonts w:ascii="Arial" w:cs="Arial" w:eastAsia="Arial" w:hAnsi="Arial"/>
                <w:sz w:val="17"/>
                <w:szCs w:val="17"/>
                <w:color w:val="0000FF"/>
                <w:w w:val="90"/>
              </w:rPr>
            </w:pPr>
            <w:hyperlink r:id="rId148">
              <w:r>
                <w:rPr>
                  <w:rFonts w:ascii="Arial" w:cs="Arial" w:eastAsia="Arial" w:hAnsi="Arial"/>
                  <w:sz w:val="17"/>
                  <w:szCs w:val="17"/>
                  <w:color w:val="0000FF"/>
                  <w:w w:val="90"/>
                </w:rPr>
                <w:t>Fourth Amendment to Third Amended and Restated Loan and</w:t>
              </w:r>
            </w:hyperlink>
          </w:p>
        </w:tc>
        <w:tc>
          <w:tcPr>
            <w:tcW w:w="420" w:type="dxa"/>
            <w:vAlign w:val="bottom"/>
            <w:gridSpan w:val="12"/>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rFonts w:ascii="Arial" w:cs="Arial" w:eastAsia="Arial" w:hAnsi="Arial"/>
                <w:sz w:val="17"/>
                <w:szCs w:val="17"/>
                <w:color w:val="0000FF"/>
              </w:rPr>
            </w:pPr>
            <w:hyperlink r:id="rId148">
              <w:r>
                <w:rPr>
                  <w:rFonts w:ascii="Arial" w:cs="Arial" w:eastAsia="Arial" w:hAnsi="Arial"/>
                  <w:sz w:val="17"/>
                  <w:szCs w:val="17"/>
                  <w:color w:val="0000FF"/>
                </w:rPr>
                <w:t>Security Agreement, dated June 4, 2021, by and between the</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top w:val="single" w:sz="8" w:color="0000FF"/>
            </w:tcBorders>
            <w:gridSpan w:val="16"/>
          </w:tcPr>
          <w:p>
            <w:pPr>
              <w:spacing w:after="0" w:line="183" w:lineRule="exact"/>
              <w:rPr>
                <w:rFonts w:ascii="Arial" w:cs="Arial" w:eastAsia="Arial" w:hAnsi="Arial"/>
                <w:sz w:val="17"/>
                <w:szCs w:val="17"/>
                <w:color w:val="0000FF"/>
              </w:rPr>
            </w:pPr>
            <w:hyperlink r:id="rId148">
              <w:r>
                <w:rPr>
                  <w:rFonts w:ascii="Arial" w:cs="Arial" w:eastAsia="Arial" w:hAnsi="Arial"/>
                  <w:sz w:val="17"/>
                  <w:szCs w:val="17"/>
                  <w:color w:val="0000FF"/>
                </w:rPr>
                <w:t>Registrant and Silicon Valley Bank.</w:t>
              </w:r>
            </w:hyperlink>
          </w:p>
        </w:tc>
        <w:tc>
          <w:tcPr>
            <w:tcW w:w="540" w:type="dxa"/>
            <w:vAlign w:val="bottom"/>
            <w:gridSpan w:val="16"/>
          </w:tcPr>
          <w:p>
            <w:pPr>
              <w:spacing w:after="0"/>
              <w:rPr>
                <w:sz w:val="15"/>
                <w:szCs w:val="15"/>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10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10.24†</w:t>
            </w:r>
          </w:p>
        </w:tc>
        <w:tc>
          <w:tcPr>
            <w:tcW w:w="20" w:type="dxa"/>
            <w:vAlign w:val="bottom"/>
          </w:tcPr>
          <w:p>
            <w:pPr>
              <w:spacing w:after="0"/>
              <w:rPr>
                <w:sz w:val="24"/>
                <w:szCs w:val="24"/>
                <w:color w:val="auto"/>
              </w:rPr>
            </w:pPr>
          </w:p>
        </w:tc>
        <w:tc>
          <w:tcPr>
            <w:tcW w:w="4680" w:type="dxa"/>
            <w:vAlign w:val="bottom"/>
            <w:gridSpan w:val="32"/>
          </w:tcPr>
          <w:p>
            <w:pPr>
              <w:spacing w:after="0"/>
              <w:rPr>
                <w:rFonts w:ascii="Arial" w:cs="Arial" w:eastAsia="Arial" w:hAnsi="Arial"/>
                <w:sz w:val="17"/>
                <w:szCs w:val="17"/>
                <w:color w:val="0000FF"/>
                <w:w w:val="94"/>
              </w:rPr>
            </w:pPr>
            <w:hyperlink r:id="rId149">
              <w:r>
                <w:rPr>
                  <w:rFonts w:ascii="Arial" w:cs="Arial" w:eastAsia="Arial" w:hAnsi="Arial"/>
                  <w:sz w:val="17"/>
                  <w:szCs w:val="17"/>
                  <w:color w:val="0000FF"/>
                  <w:w w:val="94"/>
                </w:rPr>
                <w:t>Google Exchange Integration Agreement, dated May 14, 2018, by</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20" w:type="dxa"/>
            <w:vAlign w:val="bottom"/>
            <w:tcBorders>
              <w:top w:val="single" w:sz="8" w:color="0000FF"/>
            </w:tcBorders>
            <w:gridSpan w:val="24"/>
          </w:tcPr>
          <w:p>
            <w:pPr>
              <w:spacing w:after="0" w:line="183" w:lineRule="exact"/>
              <w:rPr>
                <w:rFonts w:ascii="Arial" w:cs="Arial" w:eastAsia="Arial" w:hAnsi="Arial"/>
                <w:sz w:val="17"/>
                <w:szCs w:val="17"/>
                <w:color w:val="0000FF"/>
              </w:rPr>
            </w:pPr>
            <w:hyperlink r:id="rId149">
              <w:r>
                <w:rPr>
                  <w:rFonts w:ascii="Arial" w:cs="Arial" w:eastAsia="Arial" w:hAnsi="Arial"/>
                  <w:sz w:val="17"/>
                  <w:szCs w:val="17"/>
                  <w:color w:val="0000FF"/>
                </w:rPr>
                <w:t>and between the Registrant and Google Inc, as amended.</w:t>
              </w:r>
            </w:hyperlink>
          </w:p>
        </w:tc>
        <w:tc>
          <w:tcPr>
            <w:tcW w:w="160" w:type="dxa"/>
            <w:vAlign w:val="bottom"/>
            <w:gridSpan w:val="8"/>
          </w:tcPr>
          <w:p>
            <w:pPr>
              <w:spacing w:after="0"/>
              <w:rPr>
                <w:sz w:val="15"/>
                <w:szCs w:val="15"/>
                <w:color w:val="auto"/>
              </w:rPr>
            </w:pPr>
          </w:p>
        </w:tc>
      </w:tr>
      <w:tr>
        <w:trPr>
          <w:trHeight w:val="20"/>
        </w:trPr>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0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10.25†</w:t>
            </w:r>
          </w:p>
        </w:tc>
        <w:tc>
          <w:tcPr>
            <w:tcW w:w="20" w:type="dxa"/>
            <w:vAlign w:val="bottom"/>
          </w:tcPr>
          <w:p>
            <w:pPr>
              <w:spacing w:after="0"/>
              <w:rPr>
                <w:sz w:val="24"/>
                <w:szCs w:val="24"/>
                <w:color w:val="auto"/>
              </w:rPr>
            </w:pPr>
          </w:p>
        </w:tc>
        <w:tc>
          <w:tcPr>
            <w:tcW w:w="4660" w:type="dxa"/>
            <w:vAlign w:val="bottom"/>
            <w:tcBorders>
              <w:bottom w:val="single" w:sz="8" w:color="0000FF"/>
            </w:tcBorders>
            <w:gridSpan w:val="31"/>
          </w:tcPr>
          <w:p>
            <w:pPr>
              <w:spacing w:after="0"/>
              <w:rPr>
                <w:rFonts w:ascii="Arial" w:cs="Arial" w:eastAsia="Arial" w:hAnsi="Arial"/>
                <w:sz w:val="17"/>
                <w:szCs w:val="17"/>
                <w:color w:val="0000FF"/>
                <w:w w:val="90"/>
              </w:rPr>
            </w:pPr>
            <w:hyperlink r:id="rId150">
              <w:r>
                <w:rPr>
                  <w:rFonts w:ascii="Arial" w:cs="Arial" w:eastAsia="Arial" w:hAnsi="Arial"/>
                  <w:sz w:val="17"/>
                  <w:szCs w:val="17"/>
                  <w:color w:val="0000FF"/>
                  <w:w w:val="90"/>
                </w:rPr>
                <w:t>PubMatic Demand Partner Agreement, dated November 5, 2011, by</w:t>
              </w:r>
            </w:hyperlink>
          </w:p>
        </w:tc>
        <w:tc>
          <w:tcPr>
            <w:tcW w:w="20" w:type="dxa"/>
            <w:vAlign w:val="bottom"/>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bottom w:val="single" w:sz="8" w:color="0000FF"/>
            </w:tcBorders>
            <w:gridSpan w:val="26"/>
          </w:tcPr>
          <w:p>
            <w:pPr>
              <w:spacing w:after="0" w:line="183" w:lineRule="exact"/>
              <w:rPr>
                <w:rFonts w:ascii="Arial" w:cs="Arial" w:eastAsia="Arial" w:hAnsi="Arial"/>
                <w:sz w:val="17"/>
                <w:szCs w:val="17"/>
                <w:color w:val="0000FF"/>
                <w:w w:val="88"/>
              </w:rPr>
            </w:pPr>
            <w:hyperlink r:id="rId150">
              <w:r>
                <w:rPr>
                  <w:rFonts w:ascii="Arial" w:cs="Arial" w:eastAsia="Arial" w:hAnsi="Arial"/>
                  <w:sz w:val="17"/>
                  <w:szCs w:val="17"/>
                  <w:color w:val="0000FF"/>
                  <w:w w:val="88"/>
                </w:rPr>
                <w:t>and between the Registrant and The Trade Desk, Inc., as amended.</w:t>
              </w:r>
            </w:hyperlink>
          </w:p>
        </w:tc>
        <w:tc>
          <w:tcPr>
            <w:tcW w:w="120" w:type="dxa"/>
            <w:vAlign w:val="bottom"/>
            <w:gridSpan w:val="6"/>
          </w:tcPr>
          <w:p>
            <w:pPr>
              <w:spacing w:after="0"/>
              <w:rPr>
                <w:sz w:val="15"/>
                <w:szCs w:val="15"/>
                <w:color w:val="auto"/>
              </w:rPr>
            </w:pPr>
          </w:p>
        </w:tc>
      </w:tr>
      <w:tr>
        <w:trPr>
          <w:trHeight w:val="290"/>
        </w:trPr>
        <w:tc>
          <w:tcPr>
            <w:tcW w:w="110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10.26†</w:t>
            </w:r>
          </w:p>
        </w:tc>
        <w:tc>
          <w:tcPr>
            <w:tcW w:w="20" w:type="dxa"/>
            <w:vAlign w:val="bottom"/>
          </w:tcPr>
          <w:p>
            <w:pPr>
              <w:spacing w:after="0"/>
              <w:rPr>
                <w:sz w:val="24"/>
                <w:szCs w:val="24"/>
                <w:color w:val="auto"/>
              </w:rPr>
            </w:pPr>
          </w:p>
        </w:tc>
        <w:tc>
          <w:tcPr>
            <w:tcW w:w="4680" w:type="dxa"/>
            <w:vAlign w:val="bottom"/>
            <w:gridSpan w:val="32"/>
          </w:tcPr>
          <w:p>
            <w:pPr>
              <w:spacing w:after="0"/>
              <w:rPr>
                <w:rFonts w:ascii="Arial" w:cs="Arial" w:eastAsia="Arial" w:hAnsi="Arial"/>
                <w:sz w:val="17"/>
                <w:szCs w:val="17"/>
                <w:color w:val="0000FF"/>
                <w:w w:val="99"/>
              </w:rPr>
            </w:pPr>
            <w:hyperlink r:id="rId151">
              <w:r>
                <w:rPr>
                  <w:rFonts w:ascii="Arial" w:cs="Arial" w:eastAsia="Arial" w:hAnsi="Arial"/>
                  <w:sz w:val="17"/>
                  <w:szCs w:val="17"/>
                  <w:color w:val="0000FF"/>
                  <w:w w:val="99"/>
                </w:rPr>
                <w:t>Yahoo Ad Exchange Agreement - Media Buyer, effective as of</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40" w:type="dxa"/>
            <w:vAlign w:val="bottom"/>
            <w:tcBorders>
              <w:bottom w:val="single" w:sz="8" w:color="0000FF"/>
            </w:tcBorders>
            <w:gridSpan w:val="30"/>
          </w:tcPr>
          <w:p>
            <w:pPr>
              <w:spacing w:after="0" w:line="183" w:lineRule="exact"/>
              <w:rPr>
                <w:rFonts w:ascii="Arial" w:cs="Arial" w:eastAsia="Arial" w:hAnsi="Arial"/>
                <w:sz w:val="17"/>
                <w:szCs w:val="17"/>
                <w:color w:val="0000FF"/>
                <w:w w:val="90"/>
              </w:rPr>
            </w:pPr>
            <w:hyperlink r:id="rId151">
              <w:r>
                <w:rPr>
                  <w:rFonts w:ascii="Arial" w:cs="Arial" w:eastAsia="Arial" w:hAnsi="Arial"/>
                  <w:sz w:val="17"/>
                  <w:szCs w:val="17"/>
                  <w:color w:val="0000FF"/>
                  <w:w w:val="90"/>
                </w:rPr>
                <w:t>December 16, 2015, by and between the Registrant and Yahoo! Inc.</w:t>
              </w:r>
            </w:hyperlink>
          </w:p>
        </w:tc>
        <w:tc>
          <w:tcPr>
            <w:tcW w:w="40" w:type="dxa"/>
            <w:vAlign w:val="bottom"/>
            <w:gridSpan w:val="2"/>
          </w:tcPr>
          <w:p>
            <w:pPr>
              <w:spacing w:after="0"/>
              <w:rPr>
                <w:sz w:val="15"/>
                <w:szCs w:val="15"/>
                <w:color w:val="auto"/>
              </w:rPr>
            </w:pPr>
          </w:p>
        </w:tc>
      </w:tr>
      <w:tr>
        <w:trPr>
          <w:trHeight w:val="290"/>
        </w:trPr>
        <w:tc>
          <w:tcPr>
            <w:tcW w:w="110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10.27†</w:t>
            </w:r>
          </w:p>
        </w:tc>
        <w:tc>
          <w:tcPr>
            <w:tcW w:w="20" w:type="dxa"/>
            <w:vAlign w:val="bottom"/>
          </w:tcPr>
          <w:p>
            <w:pPr>
              <w:spacing w:after="0"/>
              <w:rPr>
                <w:sz w:val="24"/>
                <w:szCs w:val="24"/>
                <w:color w:val="auto"/>
              </w:rPr>
            </w:pPr>
          </w:p>
        </w:tc>
        <w:tc>
          <w:tcPr>
            <w:tcW w:w="4680" w:type="dxa"/>
            <w:vAlign w:val="bottom"/>
            <w:gridSpan w:val="32"/>
          </w:tcPr>
          <w:p>
            <w:pPr>
              <w:spacing w:after="0"/>
              <w:rPr>
                <w:rFonts w:ascii="Arial" w:cs="Arial" w:eastAsia="Arial" w:hAnsi="Arial"/>
                <w:sz w:val="17"/>
                <w:szCs w:val="17"/>
                <w:color w:val="0000FF"/>
                <w:w w:val="89"/>
              </w:rPr>
            </w:pPr>
            <w:hyperlink r:id="rId152">
              <w:r>
                <w:rPr>
                  <w:rFonts w:ascii="Arial" w:cs="Arial" w:eastAsia="Arial" w:hAnsi="Arial"/>
                  <w:sz w:val="17"/>
                  <w:szCs w:val="17"/>
                  <w:color w:val="0000FF"/>
                  <w:w w:val="89"/>
                </w:rPr>
                <w:t>Sublease Agreement, dated as of October 20, 2021, by and between</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top w:val="single" w:sz="8" w:color="0000FF"/>
            </w:tcBorders>
            <w:gridSpan w:val="29"/>
          </w:tcPr>
          <w:p>
            <w:pPr>
              <w:spacing w:after="0" w:line="183" w:lineRule="exact"/>
              <w:rPr>
                <w:rFonts w:ascii="Arial" w:cs="Arial" w:eastAsia="Arial" w:hAnsi="Arial"/>
                <w:sz w:val="17"/>
                <w:szCs w:val="17"/>
                <w:color w:val="0000FF"/>
              </w:rPr>
            </w:pPr>
            <w:hyperlink r:id="rId152">
              <w:r>
                <w:rPr>
                  <w:rFonts w:ascii="Arial" w:cs="Arial" w:eastAsia="Arial" w:hAnsi="Arial"/>
                  <w:sz w:val="17"/>
                  <w:szCs w:val="17"/>
                  <w:color w:val="0000FF"/>
                </w:rPr>
                <w:t>PubMatic, Inc. and Chan Zuckerberg Initiative, LLC.</w:t>
              </w:r>
            </w:hyperlink>
          </w:p>
        </w:tc>
        <w:tc>
          <w:tcPr>
            <w:tcW w:w="60" w:type="dxa"/>
            <w:vAlign w:val="bottom"/>
            <w:gridSpan w:val="3"/>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89"/>
              </w:rPr>
              <w:t>10.28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32"/>
          </w:tcPr>
          <w:p>
            <w:pPr>
              <w:spacing w:after="0"/>
              <w:rPr>
                <w:rFonts w:ascii="Arial" w:cs="Arial" w:eastAsia="Arial" w:hAnsi="Arial"/>
                <w:sz w:val="17"/>
                <w:szCs w:val="17"/>
                <w:color w:val="0000FF"/>
                <w:w w:val="91"/>
              </w:rPr>
            </w:pPr>
            <w:hyperlink r:id="rId153">
              <w:r>
                <w:rPr>
                  <w:rFonts w:ascii="Arial" w:cs="Arial" w:eastAsia="Arial" w:hAnsi="Arial"/>
                  <w:sz w:val="17"/>
                  <w:szCs w:val="17"/>
                  <w:color w:val="0000FF"/>
                  <w:w w:val="91"/>
                </w:rPr>
                <w:t>First Amendment to Sublease Agreement, dated as of November 8,</w:t>
              </w:r>
            </w:hyperlink>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top w:val="single" w:sz="8" w:color="0000FF"/>
              <w:bottom w:val="single" w:sz="8" w:color="0000FF"/>
            </w:tcBorders>
            <w:gridSpan w:val="15"/>
          </w:tcPr>
          <w:p>
            <w:pPr>
              <w:spacing w:after="0" w:line="183" w:lineRule="exact"/>
              <w:rPr>
                <w:rFonts w:ascii="Arial" w:cs="Arial" w:eastAsia="Arial" w:hAnsi="Arial"/>
                <w:sz w:val="17"/>
                <w:szCs w:val="17"/>
                <w:color w:val="0000FF"/>
                <w:w w:val="90"/>
              </w:rPr>
            </w:pPr>
            <w:hyperlink r:id="rId153">
              <w:r>
                <w:rPr>
                  <w:rFonts w:ascii="Arial" w:cs="Arial" w:eastAsia="Arial" w:hAnsi="Arial"/>
                  <w:sz w:val="17"/>
                  <w:szCs w:val="17"/>
                  <w:color w:val="0000FF"/>
                  <w:w w:val="90"/>
                </w:rPr>
                <w:t>2021, by and between PubMatic, Inc. and Chan Zuckerberg</w:t>
              </w:r>
            </w:hyperlink>
          </w:p>
        </w:tc>
        <w:tc>
          <w:tcPr>
            <w:tcW w:w="500" w:type="dxa"/>
            <w:vAlign w:val="bottom"/>
            <w:tcBorders>
              <w:top w:val="single" w:sz="8" w:color="0000FF"/>
            </w:tcBorders>
            <w:gridSpan w:val="12"/>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rFonts w:ascii="Arial" w:cs="Arial" w:eastAsia="Arial" w:hAnsi="Arial"/>
                <w:sz w:val="17"/>
                <w:szCs w:val="17"/>
                <w:color w:val="0000FF"/>
              </w:rPr>
            </w:pPr>
            <w:hyperlink r:id="rId153">
              <w:r>
                <w:rPr>
                  <w:rFonts w:ascii="Arial" w:cs="Arial" w:eastAsia="Arial" w:hAnsi="Arial"/>
                  <w:sz w:val="17"/>
                  <w:szCs w:val="17"/>
                  <w:color w:val="0000FF"/>
                </w:rPr>
                <w:t>Initiative, LLC.</w:t>
              </w:r>
            </w:hyperlink>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20" w:type="dxa"/>
            <w:vAlign w:val="bottom"/>
            <w:gridSpan w:val="1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5"/>
          </w:tcPr>
          <w:p>
            <w:pPr>
              <w:spacing w:after="0"/>
              <w:rPr>
                <w:rFonts w:ascii="Arial" w:cs="Arial" w:eastAsia="Arial" w:hAnsi="Arial"/>
                <w:sz w:val="17"/>
                <w:szCs w:val="17"/>
                <w:color w:val="0000FF"/>
                <w:w w:val="91"/>
              </w:rPr>
            </w:pPr>
            <w:hyperlink r:id="rId154">
              <w:r>
                <w:rPr>
                  <w:rFonts w:ascii="Arial" w:cs="Arial" w:eastAsia="Arial" w:hAnsi="Arial"/>
                  <w:sz w:val="17"/>
                  <w:szCs w:val="17"/>
                  <w:color w:val="0000FF"/>
                  <w:w w:val="91"/>
                </w:rPr>
                <w:t>Form of Tier 1 Retention Agreement.</w:t>
              </w:r>
            </w:hyperlink>
          </w:p>
        </w:tc>
        <w:tc>
          <w:tcPr>
            <w:tcW w:w="2120" w:type="dxa"/>
            <w:vAlign w:val="bottom"/>
            <w:gridSpan w:val="27"/>
          </w:tcPr>
          <w:p>
            <w:pPr>
              <w:spacing w:after="0"/>
              <w:rPr>
                <w:sz w:val="24"/>
                <w:szCs w:val="24"/>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3"/>
              </w:rPr>
              <w:t>10.30*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bottom w:val="single" w:sz="8" w:color="0000FF"/>
            </w:tcBorders>
            <w:gridSpan w:val="5"/>
          </w:tcPr>
          <w:p>
            <w:pPr>
              <w:spacing w:after="0"/>
              <w:rPr>
                <w:rFonts w:ascii="Arial" w:cs="Arial" w:eastAsia="Arial" w:hAnsi="Arial"/>
                <w:sz w:val="17"/>
                <w:szCs w:val="17"/>
                <w:color w:val="0000FF"/>
                <w:w w:val="91"/>
              </w:rPr>
            </w:pPr>
            <w:hyperlink r:id="rId155">
              <w:r>
                <w:rPr>
                  <w:rFonts w:ascii="Arial" w:cs="Arial" w:eastAsia="Arial" w:hAnsi="Arial"/>
                  <w:sz w:val="17"/>
                  <w:szCs w:val="17"/>
                  <w:color w:val="0000FF"/>
                  <w:w w:val="91"/>
                </w:rPr>
                <w:t>Form of Tier 2 Retention Agreement.</w:t>
              </w:r>
            </w:hyperlink>
          </w:p>
        </w:tc>
        <w:tc>
          <w:tcPr>
            <w:tcW w:w="2120" w:type="dxa"/>
            <w:vAlign w:val="bottom"/>
            <w:gridSpan w:val="27"/>
          </w:tcPr>
          <w:p>
            <w:pPr>
              <w:spacing w:after="0"/>
              <w:rPr>
                <w:sz w:val="24"/>
                <w:szCs w:val="24"/>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89"/>
              </w:rPr>
              <w:t>10.31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28"/>
          </w:tcPr>
          <w:p>
            <w:pPr>
              <w:spacing w:after="0"/>
              <w:rPr>
                <w:rFonts w:ascii="Arial" w:cs="Arial" w:eastAsia="Arial" w:hAnsi="Arial"/>
                <w:sz w:val="17"/>
                <w:szCs w:val="17"/>
                <w:color w:val="0000FF"/>
                <w:w w:val="90"/>
              </w:rPr>
            </w:pPr>
            <w:hyperlink r:id="rId156">
              <w:r>
                <w:rPr>
                  <w:rFonts w:ascii="Arial" w:cs="Arial" w:eastAsia="Arial" w:hAnsi="Arial"/>
                  <w:sz w:val="17"/>
                  <w:szCs w:val="17"/>
                  <w:color w:val="0000FF"/>
                  <w:w w:val="90"/>
                </w:rPr>
                <w:t>Credit Agreement, dated as of October 17, 2022, by and among the</w:t>
              </w:r>
            </w:hyperlink>
          </w:p>
        </w:tc>
        <w:tc>
          <w:tcPr>
            <w:tcW w:w="80" w:type="dxa"/>
            <w:vAlign w:val="bottom"/>
            <w:gridSpan w:val="4"/>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rFonts w:ascii="Arial" w:cs="Arial" w:eastAsia="Arial" w:hAnsi="Arial"/>
                <w:sz w:val="17"/>
                <w:szCs w:val="17"/>
                <w:color w:val="0000FF"/>
              </w:rPr>
            </w:pPr>
            <w:hyperlink r:id="rId156">
              <w:r>
                <w:rPr>
                  <w:rFonts w:ascii="Arial" w:cs="Arial" w:eastAsia="Arial" w:hAnsi="Arial"/>
                  <w:sz w:val="17"/>
                  <w:szCs w:val="17"/>
                  <w:color w:val="0000FF"/>
                </w:rPr>
                <w:t>Registrant, the lenders party thereto, and Silicon Valley Bank</w:t>
              </w:r>
            </w:hyperlink>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0"/>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7"/>
                <w:szCs w:val="17"/>
                <w:color w:val="0000FF"/>
                <w:w w:val="89"/>
              </w:rPr>
              <w:t>Subsidiaries of the Registrant.</w:t>
            </w:r>
          </w:p>
        </w:tc>
        <w:tc>
          <w:tcPr>
            <w:tcW w:w="2120" w:type="dxa"/>
            <w:vAlign w:val="bottom"/>
            <w:tcBorders>
              <w:top w:val="single" w:sz="8" w:color="0000FF"/>
            </w:tcBorders>
            <w:gridSpan w:val="14"/>
          </w:tcPr>
          <w:p>
            <w:pPr>
              <w:spacing w:after="0"/>
              <w:rPr>
                <w:sz w:val="24"/>
                <w:szCs w:val="24"/>
                <w:color w:val="auto"/>
              </w:rPr>
            </w:pPr>
          </w:p>
        </w:tc>
        <w:tc>
          <w:tcPr>
            <w:tcW w:w="500" w:type="dxa"/>
            <w:vAlign w:val="bottom"/>
            <w:gridSpan w:val="15"/>
          </w:tcPr>
          <w:p>
            <w:pPr>
              <w:spacing w:after="0"/>
              <w:rPr>
                <w:sz w:val="24"/>
                <w:szCs w:val="24"/>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0"/>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bottom w:val="single" w:sz="8" w:color="0000FF"/>
            </w:tcBorders>
            <w:gridSpan w:val="23"/>
          </w:tcPr>
          <w:p>
            <w:pPr>
              <w:spacing w:after="0"/>
              <w:rPr>
                <w:sz w:val="20"/>
                <w:szCs w:val="20"/>
                <w:color w:val="auto"/>
              </w:rPr>
            </w:pPr>
            <w:r>
              <w:rPr>
                <w:rFonts w:ascii="Arial" w:cs="Arial" w:eastAsia="Arial" w:hAnsi="Arial"/>
                <w:sz w:val="17"/>
                <w:szCs w:val="17"/>
                <w:color w:val="0000FF"/>
                <w:w w:val="91"/>
              </w:rPr>
              <w:t>Consent of Deloitte &amp; Touche LLP, independent registered public</w:t>
            </w:r>
          </w:p>
        </w:tc>
        <w:tc>
          <w:tcPr>
            <w:tcW w:w="180" w:type="dxa"/>
            <w:vAlign w:val="bottom"/>
            <w:gridSpan w:val="9"/>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2"/>
          </w:tcPr>
          <w:p>
            <w:pPr>
              <w:spacing w:after="0" w:line="183" w:lineRule="exact"/>
              <w:rPr>
                <w:sz w:val="20"/>
                <w:szCs w:val="20"/>
                <w:color w:val="auto"/>
              </w:rPr>
            </w:pPr>
            <w:r>
              <w:rPr>
                <w:rFonts w:ascii="Arial" w:cs="Arial" w:eastAsia="Arial" w:hAnsi="Arial"/>
                <w:sz w:val="17"/>
                <w:szCs w:val="17"/>
                <w:color w:val="0000FF"/>
              </w:rPr>
              <w:t>accounting firm.</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6"/>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File No.</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Filing 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9"/>
        </w:trPr>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10.9</w:t>
            </w:r>
          </w:p>
        </w:tc>
        <w:tc>
          <w:tcPr>
            <w:tcW w:w="100" w:type="dxa"/>
            <w:vAlign w:val="bottom"/>
          </w:tcPr>
          <w:p>
            <w:pPr>
              <w:spacing w:after="0"/>
              <w:rPr>
                <w:sz w:val="19"/>
                <w:szCs w:val="19"/>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30, 2020</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10.5</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10-K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89"/>
              </w:rPr>
              <w:t>10.18</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March 1, 2022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89"/>
              </w:rPr>
              <w:t>10.13</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25,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April 9,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June 8,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89"/>
              </w:rPr>
              <w:t>10.14</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89"/>
              </w:rPr>
              <w:t>10.15</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2"/>
              </w:rPr>
              <w:t>S-1</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89"/>
              </w:rPr>
              <w:t>10.16</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13,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10-Q</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10, 2021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9"/>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89"/>
              </w:rPr>
              <w:t>10.20</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S-1/A</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333-250077</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89"/>
              </w:rPr>
              <w:t>10.21</w:t>
            </w:r>
          </w:p>
        </w:tc>
        <w:tc>
          <w:tcPr>
            <w:tcW w:w="100" w:type="dxa"/>
            <w:vAlign w:val="bottom"/>
          </w:tcPr>
          <w:p>
            <w:pPr>
              <w:spacing w:after="0"/>
              <w:rPr>
                <w:sz w:val="24"/>
                <w:szCs w:val="24"/>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November 30,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2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8-K</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001-39748</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00" w:type="dxa"/>
            <w:vAlign w:val="bottom"/>
          </w:tcPr>
          <w:p>
            <w:pPr>
              <w:spacing w:after="0"/>
              <w:rPr>
                <w:sz w:val="24"/>
                <w:szCs w:val="2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October 17, 2022</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X</w:t>
      </w:r>
    </w:p>
    <w:p>
      <w:pPr>
        <w:spacing w:after="0" w:line="11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5800" w:space="100"/>
            <w:col w:w="5340"/>
          </w:cols>
          <w:pgMar w:left="320" w:top="233"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tcPr>
          <w:p>
            <w:pPr>
              <w:ind w:left="660"/>
              <w:spacing w:after="0"/>
              <w:rPr>
                <w:sz w:val="20"/>
                <w:szCs w:val="20"/>
                <w:color w:val="auto"/>
              </w:rPr>
            </w:pPr>
            <w:r>
              <w:rPr>
                <w:rFonts w:ascii="Arial" w:cs="Arial" w:eastAsia="Arial" w:hAnsi="Arial"/>
                <w:sz w:val="14"/>
                <w:szCs w:val="14"/>
                <w:b w:val="1"/>
                <w:bCs w:val="1"/>
                <w:color w:val="auto"/>
                <w:w w:val="96"/>
              </w:rPr>
              <w:t>Incorporated by Reference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60"/>
        </w:trPr>
        <w:tc>
          <w:tcPr>
            <w:tcW w:w="11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4780" w:type="dxa"/>
            <w:vAlign w:val="bottom"/>
            <w:gridSpan w:val="12"/>
          </w:tcPr>
          <w:p>
            <w:pPr>
              <w:spacing w:after="0"/>
              <w:rPr>
                <w:sz w:val="20"/>
                <w:szCs w:val="20"/>
                <w:color w:val="auto"/>
              </w:rPr>
            </w:pPr>
            <w:r>
              <w:rPr>
                <w:rFonts w:ascii="Arial" w:cs="Arial" w:eastAsia="Arial" w:hAnsi="Arial"/>
                <w:sz w:val="14"/>
                <w:szCs w:val="14"/>
                <w:b w:val="1"/>
                <w:bCs w:val="1"/>
                <w:color w:val="auto"/>
              </w:rPr>
              <w:t>Description of Document</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Form</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rPr>
              <w:t>File No.</w:t>
            </w: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Exhibit</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Filing 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9"/>
        </w:trPr>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000" w:type="dxa"/>
            <w:vAlign w:val="bottom"/>
          </w:tcPr>
          <w:p>
            <w:pPr>
              <w:jc w:val="center"/>
              <w:spacing w:after="0" w:line="183" w:lineRule="exact"/>
              <w:rPr>
                <w:sz w:val="20"/>
                <w:szCs w:val="20"/>
                <w:color w:val="auto"/>
              </w:rPr>
            </w:pPr>
            <w:r>
              <w:rPr>
                <w:rFonts w:ascii="Arial" w:cs="Arial" w:eastAsia="Arial" w:hAnsi="Arial"/>
                <w:sz w:val="17"/>
                <w:szCs w:val="17"/>
                <w:color w:val="auto"/>
                <w:w w:val="90"/>
              </w:rPr>
              <w:t>24.1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2"/>
          </w:tcPr>
          <w:p>
            <w:pPr>
              <w:spacing w:after="0" w:line="183" w:lineRule="exact"/>
              <w:rPr>
                <w:sz w:val="20"/>
                <w:szCs w:val="20"/>
                <w:color w:val="auto"/>
              </w:rPr>
            </w:pPr>
            <w:r>
              <w:rPr>
                <w:rFonts w:ascii="Arial" w:cs="Arial" w:eastAsia="Arial" w:hAnsi="Arial"/>
                <w:sz w:val="17"/>
                <w:szCs w:val="17"/>
                <w:color w:val="0000FF"/>
              </w:rPr>
              <w:t>Power of Attorney (included in the signature page hereto)</w:t>
            </w:r>
            <w:r>
              <w:rPr>
                <w:rFonts w:ascii="Arial" w:cs="Arial" w:eastAsia="Arial" w:hAnsi="Arial"/>
                <w:sz w:val="17"/>
                <w:szCs w:val="17"/>
                <w:color w:val="000000"/>
              </w:rPr>
              <w:t>.</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spacing w:after="0" w:line="183" w:lineRule="exact"/>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00" w:type="dxa"/>
            <w:vAlign w:val="bottom"/>
          </w:tcPr>
          <w:p>
            <w:pPr>
              <w:jc w:val="center"/>
              <w:spacing w:after="0"/>
              <w:rPr>
                <w:sz w:val="20"/>
                <w:szCs w:val="20"/>
                <w:color w:val="auto"/>
              </w:rPr>
            </w:pPr>
            <w:r>
              <w:rPr>
                <w:rFonts w:ascii="Arial" w:cs="Arial" w:eastAsia="Arial" w:hAnsi="Arial"/>
                <w:sz w:val="17"/>
                <w:szCs w:val="17"/>
                <w:color w:val="auto"/>
                <w:w w:val="90"/>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2"/>
              </w:rPr>
              <w:t>Certification of Chief Executive Officer pursuant to Rules 13a-</w:t>
            </w:r>
          </w:p>
        </w:tc>
        <w:tc>
          <w:tcPr>
            <w:tcW w:w="46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2"/>
          </w:tcPr>
          <w:p>
            <w:pPr>
              <w:spacing w:after="0" w:line="183" w:lineRule="exact"/>
              <w:rPr>
                <w:sz w:val="20"/>
                <w:szCs w:val="20"/>
                <w:color w:val="auto"/>
              </w:rPr>
            </w:pPr>
            <w:r>
              <w:rPr>
                <w:rFonts w:ascii="Arial" w:cs="Arial" w:eastAsia="Arial" w:hAnsi="Arial"/>
                <w:sz w:val="17"/>
                <w:szCs w:val="17"/>
                <w:color w:val="0000FF"/>
                <w:w w:val="94"/>
              </w:rPr>
              <w:t>14(a) and 15d-14(a) under the Securities Exchange Act of 1934, as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60" w:type="dxa"/>
            <w:vAlign w:val="bottom"/>
            <w:tcBorders>
              <w:top w:val="single" w:sz="8" w:color="0000FF"/>
            </w:tcBorders>
            <w:gridSpan w:val="9"/>
          </w:tcPr>
          <w:p>
            <w:pPr>
              <w:spacing w:after="0" w:line="183" w:lineRule="exact"/>
              <w:rPr>
                <w:sz w:val="20"/>
                <w:szCs w:val="20"/>
                <w:color w:val="auto"/>
              </w:rPr>
            </w:pPr>
            <w:r>
              <w:rPr>
                <w:rFonts w:ascii="Arial" w:cs="Arial" w:eastAsia="Arial" w:hAnsi="Arial"/>
                <w:sz w:val="17"/>
                <w:szCs w:val="17"/>
                <w:color w:val="0000FF"/>
                <w:w w:val="97"/>
              </w:rPr>
              <w:t>adopted pursuant to Section 302 of the Sarbanes-Oxley Act of</w:t>
            </w:r>
          </w:p>
        </w:tc>
        <w:tc>
          <w:tcPr>
            <w:tcW w:w="220" w:type="dxa"/>
            <w:vAlign w:val="bottom"/>
            <w:gridSpan w:val="3"/>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ind w:left="20"/>
              <w:spacing w:after="0"/>
              <w:rPr>
                <w:sz w:val="20"/>
                <w:szCs w:val="20"/>
                <w:color w:val="auto"/>
              </w:rPr>
            </w:pPr>
            <w:r>
              <w:rPr>
                <w:rFonts w:ascii="Arial" w:cs="Arial" w:eastAsia="Arial" w:hAnsi="Arial"/>
                <w:sz w:val="17"/>
                <w:szCs w:val="17"/>
                <w:color w:val="0000FF"/>
                <w:w w:val="84"/>
              </w:rPr>
              <w:t>2002.</w:t>
            </w:r>
          </w:p>
        </w:tc>
        <w:tc>
          <w:tcPr>
            <w:tcW w:w="9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00" w:type="dxa"/>
            <w:vAlign w:val="bottom"/>
          </w:tcPr>
          <w:p>
            <w:pPr>
              <w:jc w:val="center"/>
              <w:spacing w:after="0"/>
              <w:rPr>
                <w:sz w:val="20"/>
                <w:szCs w:val="20"/>
                <w:color w:val="auto"/>
              </w:rPr>
            </w:pPr>
            <w:r>
              <w:rPr>
                <w:rFonts w:ascii="Arial" w:cs="Arial" w:eastAsia="Arial" w:hAnsi="Arial"/>
                <w:sz w:val="17"/>
                <w:szCs w:val="17"/>
                <w:color w:val="auto"/>
                <w:w w:val="90"/>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0000FF"/>
                <w:w w:val="95"/>
              </w:rPr>
              <w:t>Certification of Chief Financial Officer pursuant to Rules 13a-14(a)</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top w:val="single" w:sz="8" w:color="0000FF"/>
            </w:tcBorders>
            <w:gridSpan w:val="10"/>
          </w:tcPr>
          <w:p>
            <w:pPr>
              <w:spacing w:after="0" w:line="183" w:lineRule="exact"/>
              <w:rPr>
                <w:sz w:val="20"/>
                <w:szCs w:val="20"/>
                <w:color w:val="auto"/>
              </w:rPr>
            </w:pPr>
            <w:r>
              <w:rPr>
                <w:rFonts w:ascii="Arial" w:cs="Arial" w:eastAsia="Arial" w:hAnsi="Arial"/>
                <w:sz w:val="17"/>
                <w:szCs w:val="17"/>
                <w:color w:val="0000FF"/>
                <w:w w:val="99"/>
              </w:rPr>
              <w:t>and 15d-14(a) under the Securities Exchange Act of 1934, as</w:t>
            </w:r>
          </w:p>
        </w:tc>
        <w:tc>
          <w:tcPr>
            <w:tcW w:w="16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12"/>
          </w:tcPr>
          <w:p>
            <w:pPr>
              <w:spacing w:after="0" w:line="169" w:lineRule="exact"/>
              <w:rPr>
                <w:sz w:val="20"/>
                <w:szCs w:val="20"/>
                <w:color w:val="auto"/>
              </w:rPr>
            </w:pPr>
            <w:r>
              <w:rPr>
                <w:rFonts w:ascii="Arial" w:cs="Arial" w:eastAsia="Arial" w:hAnsi="Arial"/>
                <w:sz w:val="17"/>
                <w:szCs w:val="17"/>
                <w:color w:val="0000FF"/>
              </w:rPr>
              <w:t>adopted pursuant to Section 302 of the Sarbanes-Oxley Act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ind w:left="20"/>
              <w:spacing w:after="0" w:line="183" w:lineRule="exact"/>
              <w:rPr>
                <w:sz w:val="20"/>
                <w:szCs w:val="20"/>
                <w:color w:val="auto"/>
              </w:rPr>
            </w:pPr>
            <w:r>
              <w:rPr>
                <w:rFonts w:ascii="Arial" w:cs="Arial" w:eastAsia="Arial" w:hAnsi="Arial"/>
                <w:sz w:val="17"/>
                <w:szCs w:val="17"/>
                <w:color w:val="0000FF"/>
                <w:w w:val="84"/>
              </w:rPr>
              <w:t>2002.</w:t>
            </w:r>
          </w:p>
        </w:tc>
        <w:tc>
          <w:tcPr>
            <w:tcW w:w="9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jc w:val="center"/>
              <w:spacing w:after="0"/>
              <w:rPr>
                <w:sz w:val="20"/>
                <w:szCs w:val="20"/>
                <w:color w:val="auto"/>
              </w:rPr>
            </w:pPr>
            <w:r>
              <w:rPr>
                <w:rFonts w:ascii="Arial" w:cs="Arial" w:eastAsia="Arial" w:hAnsi="Arial"/>
                <w:sz w:val="17"/>
                <w:szCs w:val="17"/>
                <w:color w:val="auto"/>
                <w:w w:val="90"/>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w w:val="93"/>
              </w:rPr>
              <w:t>Certification of Chief Executive Officer pursuant to 18 U.S.C.</w:t>
            </w:r>
          </w:p>
        </w:tc>
        <w:tc>
          <w:tcPr>
            <w:tcW w:w="520" w:type="dxa"/>
            <w:vAlign w:val="bottom"/>
            <w:gridSpan w:val="6"/>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2"/>
          </w:tcPr>
          <w:p>
            <w:pPr>
              <w:spacing w:after="0" w:line="183" w:lineRule="exact"/>
              <w:rPr>
                <w:sz w:val="20"/>
                <w:szCs w:val="20"/>
                <w:color w:val="auto"/>
              </w:rPr>
            </w:pPr>
            <w:r>
              <w:rPr>
                <w:rFonts w:ascii="Arial" w:cs="Arial" w:eastAsia="Arial" w:hAnsi="Arial"/>
                <w:sz w:val="17"/>
                <w:szCs w:val="17"/>
                <w:color w:val="0000FF"/>
                <w:w w:val="93"/>
              </w:rPr>
              <w:t>Section 1350, as adopted pursuant to Section 906 of the Sarbanes-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2"/>
          </w:tcPr>
          <w:p>
            <w:pPr>
              <w:spacing w:after="0" w:line="183" w:lineRule="exact"/>
              <w:rPr>
                <w:sz w:val="20"/>
                <w:szCs w:val="20"/>
                <w:color w:val="auto"/>
              </w:rPr>
            </w:pPr>
            <w:r>
              <w:rPr>
                <w:rFonts w:ascii="Arial" w:cs="Arial" w:eastAsia="Arial" w:hAnsi="Arial"/>
                <w:sz w:val="17"/>
                <w:szCs w:val="17"/>
                <w:color w:val="0000FF"/>
                <w:w w:val="93"/>
              </w:rPr>
              <w:t>Oxley Act of 2002.</w:t>
            </w:r>
          </w:p>
        </w:tc>
        <w:tc>
          <w:tcPr>
            <w:tcW w:w="3200" w:type="dxa"/>
            <w:vAlign w:val="bottom"/>
            <w:tcBorders>
              <w:top w:val="single" w:sz="8" w:color="0000FF"/>
            </w:tcBorders>
            <w:gridSpan w:val="6"/>
          </w:tcPr>
          <w:p>
            <w:pPr>
              <w:spacing w:after="0"/>
              <w:rPr>
                <w:sz w:val="15"/>
                <w:szCs w:val="15"/>
                <w:color w:val="auto"/>
              </w:rPr>
            </w:pPr>
          </w:p>
        </w:tc>
        <w:tc>
          <w:tcPr>
            <w:tcW w:w="260" w:type="dxa"/>
            <w:vAlign w:val="bottom"/>
            <w:gridSpan w:val="4"/>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000" w:type="dxa"/>
            <w:vAlign w:val="bottom"/>
          </w:tcPr>
          <w:p>
            <w:pPr>
              <w:jc w:val="center"/>
              <w:spacing w:after="0"/>
              <w:rPr>
                <w:sz w:val="20"/>
                <w:szCs w:val="20"/>
                <w:color w:val="auto"/>
              </w:rPr>
            </w:pPr>
            <w:r>
              <w:rPr>
                <w:rFonts w:ascii="Arial" w:cs="Arial" w:eastAsia="Arial" w:hAnsi="Arial"/>
                <w:sz w:val="17"/>
                <w:szCs w:val="17"/>
                <w:color w:val="auto"/>
                <w:w w:val="90"/>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0000FF"/>
              </w:rPr>
              <w:t>Certification of Chief Financial Officer pursuant to 18 U.S.C.</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gridSpan w:val="5"/>
            <w:shd w:val="clear" w:color="auto" w:fill="0000FF"/>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2"/>
          </w:tcPr>
          <w:p>
            <w:pPr>
              <w:spacing w:after="0" w:line="183" w:lineRule="exact"/>
              <w:rPr>
                <w:sz w:val="20"/>
                <w:szCs w:val="20"/>
                <w:color w:val="auto"/>
              </w:rPr>
            </w:pPr>
            <w:r>
              <w:rPr>
                <w:rFonts w:ascii="Arial" w:cs="Arial" w:eastAsia="Arial" w:hAnsi="Arial"/>
                <w:sz w:val="17"/>
                <w:szCs w:val="17"/>
                <w:color w:val="0000FF"/>
                <w:w w:val="93"/>
              </w:rPr>
              <w:t>Section 1350, as adopted pursuant to Section 906 of the Sarbanes-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top w:val="single" w:sz="8" w:color="0000FF"/>
              <w:bottom w:val="single" w:sz="8" w:color="0000FF"/>
            </w:tcBorders>
            <w:gridSpan w:val="2"/>
          </w:tcPr>
          <w:p>
            <w:pPr>
              <w:spacing w:after="0" w:line="183" w:lineRule="exact"/>
              <w:rPr>
                <w:sz w:val="20"/>
                <w:szCs w:val="20"/>
                <w:color w:val="auto"/>
              </w:rPr>
            </w:pPr>
            <w:r>
              <w:rPr>
                <w:rFonts w:ascii="Arial" w:cs="Arial" w:eastAsia="Arial" w:hAnsi="Arial"/>
                <w:sz w:val="17"/>
                <w:szCs w:val="17"/>
                <w:color w:val="0000FF"/>
                <w:w w:val="93"/>
              </w:rPr>
              <w:t>Oxley Act of 2002.</w:t>
            </w:r>
          </w:p>
        </w:tc>
        <w:tc>
          <w:tcPr>
            <w:tcW w:w="3200" w:type="dxa"/>
            <w:vAlign w:val="bottom"/>
            <w:tcBorders>
              <w:top w:val="single" w:sz="8" w:color="0000FF"/>
            </w:tcBorders>
            <w:gridSpan w:val="6"/>
          </w:tcPr>
          <w:p>
            <w:pPr>
              <w:spacing w:after="0"/>
              <w:rPr>
                <w:sz w:val="15"/>
                <w:szCs w:val="15"/>
                <w:color w:val="auto"/>
              </w:rPr>
            </w:pPr>
          </w:p>
        </w:tc>
        <w:tc>
          <w:tcPr>
            <w:tcW w:w="260" w:type="dxa"/>
            <w:vAlign w:val="bottom"/>
            <w:gridSpan w:val="4"/>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110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101.INS</w:t>
            </w:r>
          </w:p>
        </w:tc>
        <w:tc>
          <w:tcPr>
            <w:tcW w:w="2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w w:val="99"/>
              </w:rPr>
              <w:t>Inline XBRL Instance Document — the instance document does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w w:val="97"/>
              </w:rPr>
              <w:t>not appear in the Interactive Data File because its XBRL tags are</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rPr>
              <w:t>embedded within the Inline XBRL document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101.SCH</w:t>
            </w:r>
          </w:p>
        </w:tc>
        <w:tc>
          <w:tcPr>
            <w:tcW w:w="2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rPr>
              <w:t>Inline XBRL Taxonomy Extension Schema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97"/>
        </w:trPr>
        <w:tc>
          <w:tcPr>
            <w:tcW w:w="110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101.CAL</w:t>
            </w:r>
          </w:p>
        </w:tc>
        <w:tc>
          <w:tcPr>
            <w:tcW w:w="2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rPr>
              <w:t>Inline XBRL Taxonomy Extension Calculation Linkbase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rPr>
              <w:t>Document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101.DEF</w:t>
            </w:r>
          </w:p>
        </w:tc>
        <w:tc>
          <w:tcPr>
            <w:tcW w:w="2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w w:val="98"/>
              </w:rPr>
              <w:t>Inline XBRL Taxonomy Extension Definition Linkbase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10"/>
        </w:trPr>
        <w:tc>
          <w:tcPr>
            <w:tcW w:w="110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101.LAB</w:t>
            </w:r>
          </w:p>
        </w:tc>
        <w:tc>
          <w:tcPr>
            <w:tcW w:w="2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97"/>
        </w:trPr>
        <w:tc>
          <w:tcPr>
            <w:tcW w:w="110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101.PRE</w:t>
            </w:r>
          </w:p>
        </w:tc>
        <w:tc>
          <w:tcPr>
            <w:tcW w:w="2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rPr>
              <w:t>Inline XBRL Taxonomy Extension Presentation Linkbase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rPr>
              <w:t>Document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1000" w:type="dxa"/>
            <w:vAlign w:val="bottom"/>
          </w:tcPr>
          <w:p>
            <w:pPr>
              <w:jc w:val="center"/>
              <w:spacing w:after="0"/>
              <w:rPr>
                <w:sz w:val="20"/>
                <w:szCs w:val="20"/>
                <w:color w:val="auto"/>
              </w:rPr>
            </w:pPr>
            <w:r>
              <w:rPr>
                <w:rFonts w:ascii="Arial" w:cs="Arial" w:eastAsia="Arial" w:hAnsi="Arial"/>
                <w:sz w:val="17"/>
                <w:szCs w:val="17"/>
                <w:color w:val="auto"/>
                <w:w w:val="91"/>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w w:val="99"/>
              </w:rPr>
              <w:t>Cover Page Interactive Data File (formatted as Inline XBRL and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12"/>
          </w:tcPr>
          <w:p>
            <w:pPr>
              <w:spacing w:after="0"/>
              <w:rPr>
                <w:sz w:val="20"/>
                <w:szCs w:val="20"/>
                <w:color w:val="auto"/>
              </w:rPr>
            </w:pPr>
            <w:r>
              <w:rPr>
                <w:rFonts w:ascii="Arial" w:cs="Arial" w:eastAsia="Arial" w:hAnsi="Arial"/>
                <w:sz w:val="17"/>
                <w:szCs w:val="17"/>
                <w:color w:val="auto"/>
              </w:rPr>
              <w:t>contained in Exhibit 101)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50"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6"/>
          <w:szCs w:val="16"/>
          <w:color w:val="auto"/>
        </w:rPr>
        <w:t>Indicates a management contract, compensatory plan or arrangement.</w:t>
      </w:r>
    </w:p>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Registrant has omitted portions of the exhibit as permitted under Item 601(b)(10) of Regulation S-K.</w:t>
      </w:r>
    </w:p>
    <w:p>
      <w:pPr>
        <w:spacing w:after="0" w:line="46" w:lineRule="exact"/>
        <w:rPr>
          <w:sz w:val="20"/>
          <w:szCs w:val="20"/>
          <w:color w:val="auto"/>
        </w:rPr>
      </w:pPr>
    </w:p>
    <w:p>
      <w:pPr>
        <w:ind w:left="340" w:hanging="332"/>
        <w:spacing w:after="0" w:line="286" w:lineRule="auto"/>
        <w:tabs>
          <w:tab w:leader="none" w:pos="272"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February 28, 2023</w:t>
      </w: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PUBMATIC, INC.</w:t>
      </w:r>
    </w:p>
    <w:p>
      <w:pPr>
        <w:spacing w:after="0" w:line="337"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8"/>
          <w:szCs w:val="18"/>
          <w:color w:val="auto"/>
        </w:rPr>
        <w:t>By:</w:t>
        <w:tab/>
        <w:t>/s/ Rajeev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31750</wp:posOffset>
            </wp:positionV>
            <wp:extent cx="32486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Rajeev K. Goel</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Rajeev K. Goel and Steven Pantelick, and each of them, as his or her true and lawful attorneys-in-fact and agents, each with full power of substitution, for him or her and in his or her name,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their or his substitute or substitutes, may lawfully do or cause to be done by virtue hereof.</w:t>
      </w:r>
    </w:p>
    <w:p>
      <w:pPr>
        <w:spacing w:after="0" w:line="6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in the capacities and on the dates indicated.</w:t>
      </w:r>
    </w:p>
    <w:p>
      <w:pPr>
        <w:spacing w:after="0" w:line="54" w:lineRule="exact"/>
        <w:rPr>
          <w:sz w:val="20"/>
          <w:szCs w:val="20"/>
          <w:color w:val="auto"/>
        </w:rPr>
      </w:pPr>
    </w:p>
    <w:p>
      <w:pPr>
        <w:ind w:left="2040"/>
        <w:spacing w:after="0"/>
        <w:tabs>
          <w:tab w:leader="none" w:pos="688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p>
      <w:pPr>
        <w:spacing w:after="0" w:line="13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Rajeev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489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Rajeev K. Goel</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Steven Pantelick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489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Steven Pantelick</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Michael van der Zweep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9489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8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Michael van der Zweep</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Cathleen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489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Cathleen Black</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W. Eric Carlborg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489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W. Eric Carlborg</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Susan Daimler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489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Susan Daimler</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Amar K. Goel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489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Amar K. Goel</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Shelagh Glaser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489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Shelagh Glaser</w:t>
      </w:r>
    </w:p>
    <w:p>
      <w:pPr>
        <w:spacing w:after="0" w:line="1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/s/ Jacob Shulman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489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Jacob Shulman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Chief Executive Officer and Director</w:t>
      </w:r>
    </w:p>
    <w:p>
      <w:pPr>
        <w:spacing w:after="0" w:line="46" w:lineRule="exact"/>
        <w:rPr>
          <w:sz w:val="20"/>
          <w:szCs w:val="20"/>
          <w:color w:val="auto"/>
        </w:rPr>
      </w:pPr>
    </w:p>
    <w:p>
      <w:pPr>
        <w:jc w:val="center"/>
        <w:ind w:right="58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i w:val="1"/>
          <w:iCs w:val="1"/>
          <w:color w:val="auto"/>
        </w:rPr>
        <w:t>(Principal Financial Officer)</w:t>
      </w:r>
    </w:p>
    <w:p>
      <w:pPr>
        <w:spacing w:after="0" w:line="251" w:lineRule="exact"/>
        <w:rPr>
          <w:sz w:val="20"/>
          <w:szCs w:val="20"/>
          <w:color w:val="auto"/>
        </w:rPr>
      </w:pPr>
    </w:p>
    <w:p>
      <w:pPr>
        <w:jc w:val="center"/>
        <w:ind w:right="580"/>
        <w:spacing w:after="0"/>
        <w:rPr>
          <w:sz w:val="20"/>
          <w:szCs w:val="20"/>
          <w:color w:val="auto"/>
        </w:rPr>
      </w:pPr>
      <w:r>
        <w:rPr>
          <w:rFonts w:ascii="Arial" w:cs="Arial" w:eastAsia="Arial" w:hAnsi="Arial"/>
          <w:sz w:val="18"/>
          <w:szCs w:val="18"/>
          <w:color w:val="auto"/>
        </w:rPr>
        <w:t>Controller</w:t>
      </w:r>
    </w:p>
    <w:p>
      <w:pPr>
        <w:spacing w:after="0" w:line="23" w:lineRule="exact"/>
        <w:rPr>
          <w:sz w:val="20"/>
          <w:szCs w:val="20"/>
          <w:color w:val="auto"/>
        </w:rPr>
      </w:pPr>
    </w:p>
    <w:p>
      <w:pPr>
        <w:jc w:val="center"/>
        <w:ind w:right="580"/>
        <w:spacing w:after="0"/>
        <w:rPr>
          <w:sz w:val="20"/>
          <w:szCs w:val="20"/>
          <w:color w:val="auto"/>
        </w:rPr>
      </w:pPr>
      <w:r>
        <w:rPr>
          <w:rFonts w:ascii="Arial" w:cs="Arial" w:eastAsia="Arial" w:hAnsi="Arial"/>
          <w:sz w:val="18"/>
          <w:szCs w:val="18"/>
          <w:i w:val="1"/>
          <w:iCs w:val="1"/>
          <w:color w:val="auto"/>
        </w:rPr>
        <w:t>(Principal Accounting Officer)</w:t>
      </w:r>
    </w:p>
    <w:p>
      <w:pPr>
        <w:spacing w:after="0" w:line="35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ectPr>
          <w:pgSz w:w="11900" w:h="16838" w:orient="portrait"/>
          <w:cols w:equalWidth="0" w:num="3">
            <w:col w:w="5000" w:space="720"/>
            <w:col w:w="3240" w:space="720"/>
            <w:col w:w="1560"/>
          </w:cols>
          <w:pgMar w:left="320" w:top="233" w:right="339" w:bottom="144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231775</wp:posOffset>
            </wp:positionV>
            <wp:extent cx="137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PUBMATIC, INC.</w:t>
      </w:r>
    </w:p>
    <w:p>
      <w:pPr>
        <w:spacing w:after="0" w:line="10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00"/>
        <w:spacing w:after="0"/>
        <w:rPr>
          <w:sz w:val="20"/>
          <w:szCs w:val="20"/>
          <w:color w:val="auto"/>
        </w:rPr>
      </w:pPr>
      <w:r>
        <w:rPr>
          <w:rFonts w:ascii="Arial" w:cs="Arial" w:eastAsia="Arial" w:hAnsi="Arial"/>
          <w:sz w:val="22"/>
          <w:szCs w:val="22"/>
          <w:color w:val="auto"/>
        </w:rPr>
        <w:t>As Amended and Restated on 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572770</wp:posOffset>
            </wp:positionV>
            <wp:extent cx="1371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22"/>
          <w:szCs w:val="22"/>
          <w:b w:val="1"/>
          <w:bCs w:val="1"/>
          <w:color w:val="auto"/>
        </w:rPr>
        <w:t>PUBMATIC, INC.</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AMENDED AND RESTATED BYLAWS</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1020" w:type="dxa"/>
            <w:vAlign w:val="bottom"/>
          </w:tcPr>
          <w:p>
            <w:pPr>
              <w:spacing w:after="0"/>
              <w:rPr>
                <w:sz w:val="24"/>
                <w:szCs w:val="24"/>
                <w:color w:val="auto"/>
              </w:rPr>
            </w:pPr>
          </w:p>
        </w:tc>
        <w:tc>
          <w:tcPr>
            <w:tcW w:w="7520" w:type="dxa"/>
            <w:vAlign w:val="bottom"/>
          </w:tcPr>
          <w:p>
            <w:pPr>
              <w:ind w:left="3780"/>
              <w:spacing w:after="0"/>
              <w:rPr>
                <w:sz w:val="20"/>
                <w:szCs w:val="20"/>
                <w:color w:val="auto"/>
              </w:rPr>
            </w:pPr>
            <w:r>
              <w:rPr>
                <w:rFonts w:ascii="Arial" w:cs="Arial" w:eastAsia="Arial" w:hAnsi="Arial"/>
                <w:sz w:val="22"/>
                <w:szCs w:val="22"/>
                <w:b w:val="1"/>
                <w:bCs w:val="1"/>
                <w:color w:val="auto"/>
              </w:rPr>
              <w:t>Table of Contents</w:t>
            </w:r>
          </w:p>
        </w:tc>
        <w:tc>
          <w:tcPr>
            <w:tcW w:w="268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680" w:type="dxa"/>
            <w:vAlign w:val="bottom"/>
          </w:tcPr>
          <w:p>
            <w:pPr>
              <w:ind w:left="2240"/>
              <w:spacing w:after="0"/>
              <w:rPr>
                <w:sz w:val="20"/>
                <w:szCs w:val="20"/>
                <w:color w:val="auto"/>
              </w:rPr>
            </w:pPr>
            <w:r>
              <w:rPr>
                <w:rFonts w:ascii="Arial" w:cs="Arial" w:eastAsia="Arial" w:hAnsi="Arial"/>
                <w:sz w:val="22"/>
                <w:szCs w:val="22"/>
                <w:b w:val="1"/>
                <w:bCs w:val="1"/>
                <w:color w:val="auto"/>
                <w:w w:val="79"/>
              </w:rPr>
              <w:t>Page</w:t>
            </w:r>
          </w:p>
        </w:tc>
      </w:tr>
      <w:tr>
        <w:trPr>
          <w:trHeight w:val="448"/>
        </w:trPr>
        <w:tc>
          <w:tcPr>
            <w:tcW w:w="8540" w:type="dxa"/>
            <w:vAlign w:val="bottom"/>
            <w:gridSpan w:val="2"/>
          </w:tcPr>
          <w:p>
            <w:pPr>
              <w:spacing w:after="0"/>
              <w:rPr>
                <w:sz w:val="20"/>
                <w:szCs w:val="20"/>
                <w:color w:val="auto"/>
              </w:rPr>
            </w:pPr>
            <w:r>
              <w:rPr>
                <w:rFonts w:ascii="Arial" w:cs="Arial" w:eastAsia="Arial" w:hAnsi="Arial"/>
                <w:sz w:val="18"/>
                <w:szCs w:val="18"/>
                <w:color w:val="auto"/>
              </w:rPr>
              <w:t>ARTICLE I: STOCKHOLDERS</w:t>
            </w:r>
          </w:p>
        </w:tc>
        <w:tc>
          <w:tcPr>
            <w:tcW w:w="2680" w:type="dxa"/>
            <w:vAlign w:val="bottom"/>
          </w:tcPr>
          <w:p>
            <w:pPr>
              <w:ind w:left="2140"/>
              <w:spacing w:after="0"/>
              <w:rPr>
                <w:sz w:val="20"/>
                <w:szCs w:val="20"/>
                <w:color w:val="auto"/>
              </w:rPr>
            </w:pPr>
            <w:r>
              <w:rPr>
                <w:rFonts w:ascii="Arial" w:cs="Arial" w:eastAsia="Arial" w:hAnsi="Arial"/>
                <w:sz w:val="18"/>
                <w:szCs w:val="18"/>
                <w:color w:val="auto"/>
              </w:rPr>
              <w:t>1</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Section 1.1:</w:t>
            </w:r>
          </w:p>
        </w:tc>
        <w:tc>
          <w:tcPr>
            <w:tcW w:w="7520" w:type="dxa"/>
            <w:vAlign w:val="bottom"/>
          </w:tcPr>
          <w:p>
            <w:pPr>
              <w:ind w:left="20"/>
              <w:spacing w:after="0"/>
              <w:rPr>
                <w:sz w:val="20"/>
                <w:szCs w:val="20"/>
                <w:color w:val="auto"/>
              </w:rPr>
            </w:pPr>
            <w:r>
              <w:rPr>
                <w:rFonts w:ascii="Arial" w:cs="Arial" w:eastAsia="Arial" w:hAnsi="Arial"/>
                <w:sz w:val="18"/>
                <w:szCs w:val="18"/>
                <w:color w:val="auto"/>
              </w:rPr>
              <w:t>Annual Meetings</w:t>
            </w:r>
          </w:p>
        </w:tc>
        <w:tc>
          <w:tcPr>
            <w:tcW w:w="2680" w:type="dxa"/>
            <w:vAlign w:val="bottom"/>
          </w:tcPr>
          <w:p>
            <w:pPr>
              <w:ind w:left="2140"/>
              <w:spacing w:after="0"/>
              <w:rPr>
                <w:sz w:val="20"/>
                <w:szCs w:val="20"/>
                <w:color w:val="auto"/>
              </w:rPr>
            </w:pPr>
            <w:r>
              <w:rPr>
                <w:rFonts w:ascii="Arial" w:cs="Arial" w:eastAsia="Arial" w:hAnsi="Arial"/>
                <w:sz w:val="18"/>
                <w:szCs w:val="18"/>
                <w:color w:val="auto"/>
              </w:rPr>
              <w:t>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1.2:</w:t>
            </w:r>
          </w:p>
        </w:tc>
        <w:tc>
          <w:tcPr>
            <w:tcW w:w="7520" w:type="dxa"/>
            <w:vAlign w:val="bottom"/>
          </w:tcPr>
          <w:p>
            <w:pPr>
              <w:ind w:left="20"/>
              <w:spacing w:after="0"/>
              <w:rPr>
                <w:sz w:val="20"/>
                <w:szCs w:val="20"/>
                <w:color w:val="auto"/>
              </w:rPr>
            </w:pPr>
            <w:r>
              <w:rPr>
                <w:rFonts w:ascii="Arial" w:cs="Arial" w:eastAsia="Arial" w:hAnsi="Arial"/>
                <w:sz w:val="18"/>
                <w:szCs w:val="18"/>
                <w:color w:val="auto"/>
              </w:rPr>
              <w:t>Special Meetings</w:t>
            </w:r>
          </w:p>
        </w:tc>
        <w:tc>
          <w:tcPr>
            <w:tcW w:w="2680" w:type="dxa"/>
            <w:vAlign w:val="bottom"/>
          </w:tcPr>
          <w:p>
            <w:pPr>
              <w:ind w:left="2140"/>
              <w:spacing w:after="0"/>
              <w:rPr>
                <w:sz w:val="20"/>
                <w:szCs w:val="20"/>
                <w:color w:val="auto"/>
              </w:rPr>
            </w:pPr>
            <w:r>
              <w:rPr>
                <w:rFonts w:ascii="Arial" w:cs="Arial" w:eastAsia="Arial" w:hAnsi="Arial"/>
                <w:sz w:val="18"/>
                <w:szCs w:val="18"/>
                <w:color w:val="auto"/>
              </w:rPr>
              <w:t>1</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Section 1.3:  Notice of Meetings</w:t>
            </w:r>
          </w:p>
        </w:tc>
        <w:tc>
          <w:tcPr>
            <w:tcW w:w="2680" w:type="dxa"/>
            <w:vAlign w:val="bottom"/>
          </w:tcPr>
          <w:p>
            <w:pPr>
              <w:ind w:left="2140"/>
              <w:spacing w:after="0"/>
              <w:rPr>
                <w:sz w:val="20"/>
                <w:szCs w:val="20"/>
                <w:color w:val="auto"/>
              </w:rPr>
            </w:pPr>
            <w:r>
              <w:rPr>
                <w:rFonts w:ascii="Arial" w:cs="Arial" w:eastAsia="Arial" w:hAnsi="Arial"/>
                <w:sz w:val="18"/>
                <w:szCs w:val="18"/>
                <w:color w:val="auto"/>
              </w:rPr>
              <w:t>1</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Section 1.4:</w:t>
            </w:r>
          </w:p>
        </w:tc>
        <w:tc>
          <w:tcPr>
            <w:tcW w:w="7520" w:type="dxa"/>
            <w:vAlign w:val="bottom"/>
          </w:tcPr>
          <w:p>
            <w:pPr>
              <w:ind w:left="20"/>
              <w:spacing w:after="0"/>
              <w:rPr>
                <w:sz w:val="20"/>
                <w:szCs w:val="20"/>
                <w:color w:val="auto"/>
              </w:rPr>
            </w:pPr>
            <w:r>
              <w:rPr>
                <w:rFonts w:ascii="Arial" w:cs="Arial" w:eastAsia="Arial" w:hAnsi="Arial"/>
                <w:sz w:val="18"/>
                <w:szCs w:val="18"/>
                <w:color w:val="auto"/>
              </w:rPr>
              <w:t>Adjournments</w:t>
            </w:r>
          </w:p>
        </w:tc>
        <w:tc>
          <w:tcPr>
            <w:tcW w:w="2680" w:type="dxa"/>
            <w:vAlign w:val="bottom"/>
          </w:tcPr>
          <w:p>
            <w:pPr>
              <w:ind w:left="2140"/>
              <w:spacing w:after="0"/>
              <w:rPr>
                <w:sz w:val="20"/>
                <w:szCs w:val="20"/>
                <w:color w:val="auto"/>
              </w:rPr>
            </w:pPr>
            <w:r>
              <w:rPr>
                <w:rFonts w:ascii="Arial" w:cs="Arial" w:eastAsia="Arial" w:hAnsi="Arial"/>
                <w:sz w:val="18"/>
                <w:szCs w:val="18"/>
                <w:color w:val="auto"/>
              </w:rPr>
              <w:t>1</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1.5:</w:t>
            </w:r>
          </w:p>
        </w:tc>
        <w:tc>
          <w:tcPr>
            <w:tcW w:w="7520" w:type="dxa"/>
            <w:vAlign w:val="bottom"/>
          </w:tcPr>
          <w:p>
            <w:pPr>
              <w:ind w:left="20"/>
              <w:spacing w:after="0"/>
              <w:rPr>
                <w:sz w:val="20"/>
                <w:szCs w:val="20"/>
                <w:color w:val="auto"/>
              </w:rPr>
            </w:pPr>
            <w:r>
              <w:rPr>
                <w:rFonts w:ascii="Arial" w:cs="Arial" w:eastAsia="Arial" w:hAnsi="Arial"/>
                <w:sz w:val="18"/>
                <w:szCs w:val="18"/>
                <w:color w:val="auto"/>
              </w:rPr>
              <w:t>Quorum</w:t>
            </w:r>
          </w:p>
        </w:tc>
        <w:tc>
          <w:tcPr>
            <w:tcW w:w="2680" w:type="dxa"/>
            <w:vAlign w:val="bottom"/>
          </w:tcPr>
          <w:p>
            <w:pPr>
              <w:ind w:left="2140"/>
              <w:spacing w:after="0"/>
              <w:rPr>
                <w:sz w:val="20"/>
                <w:szCs w:val="20"/>
                <w:color w:val="auto"/>
              </w:rPr>
            </w:pPr>
            <w:r>
              <w:rPr>
                <w:rFonts w:ascii="Arial" w:cs="Arial" w:eastAsia="Arial" w:hAnsi="Arial"/>
                <w:sz w:val="18"/>
                <w:szCs w:val="18"/>
                <w:color w:val="auto"/>
              </w:rPr>
              <w:t>2</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Section 1.6:</w:t>
            </w:r>
          </w:p>
        </w:tc>
        <w:tc>
          <w:tcPr>
            <w:tcW w:w="7520" w:type="dxa"/>
            <w:vAlign w:val="bottom"/>
          </w:tcPr>
          <w:p>
            <w:pPr>
              <w:ind w:left="20"/>
              <w:spacing w:after="0"/>
              <w:rPr>
                <w:sz w:val="20"/>
                <w:szCs w:val="20"/>
                <w:color w:val="auto"/>
              </w:rPr>
            </w:pPr>
            <w:r>
              <w:rPr>
                <w:rFonts w:ascii="Arial" w:cs="Arial" w:eastAsia="Arial" w:hAnsi="Arial"/>
                <w:sz w:val="18"/>
                <w:szCs w:val="18"/>
                <w:color w:val="auto"/>
              </w:rPr>
              <w:t>Organization</w:t>
            </w:r>
          </w:p>
        </w:tc>
        <w:tc>
          <w:tcPr>
            <w:tcW w:w="2680" w:type="dxa"/>
            <w:vAlign w:val="bottom"/>
          </w:tcPr>
          <w:p>
            <w:pPr>
              <w:ind w:left="2140"/>
              <w:spacing w:after="0"/>
              <w:rPr>
                <w:sz w:val="20"/>
                <w:szCs w:val="20"/>
                <w:color w:val="auto"/>
              </w:rPr>
            </w:pPr>
            <w:r>
              <w:rPr>
                <w:rFonts w:ascii="Arial" w:cs="Arial" w:eastAsia="Arial" w:hAnsi="Arial"/>
                <w:sz w:val="18"/>
                <w:szCs w:val="18"/>
                <w:color w:val="auto"/>
              </w:rPr>
              <w:t>2</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Section 1.7:</w:t>
            </w:r>
          </w:p>
        </w:tc>
        <w:tc>
          <w:tcPr>
            <w:tcW w:w="7520" w:type="dxa"/>
            <w:vAlign w:val="bottom"/>
          </w:tcPr>
          <w:p>
            <w:pPr>
              <w:ind w:left="20"/>
              <w:spacing w:after="0"/>
              <w:rPr>
                <w:sz w:val="20"/>
                <w:szCs w:val="20"/>
                <w:color w:val="auto"/>
              </w:rPr>
            </w:pPr>
            <w:r>
              <w:rPr>
                <w:rFonts w:ascii="Arial" w:cs="Arial" w:eastAsia="Arial" w:hAnsi="Arial"/>
                <w:sz w:val="18"/>
                <w:szCs w:val="18"/>
                <w:color w:val="auto"/>
              </w:rPr>
              <w:t>Voting; Proxies</w:t>
            </w:r>
          </w:p>
        </w:tc>
        <w:tc>
          <w:tcPr>
            <w:tcW w:w="2680" w:type="dxa"/>
            <w:vAlign w:val="bottom"/>
          </w:tcPr>
          <w:p>
            <w:pPr>
              <w:ind w:left="2140"/>
              <w:spacing w:after="0"/>
              <w:rPr>
                <w:sz w:val="20"/>
                <w:szCs w:val="20"/>
                <w:color w:val="auto"/>
              </w:rPr>
            </w:pPr>
            <w:r>
              <w:rPr>
                <w:rFonts w:ascii="Arial" w:cs="Arial" w:eastAsia="Arial" w:hAnsi="Arial"/>
                <w:sz w:val="18"/>
                <w:szCs w:val="18"/>
                <w:color w:val="auto"/>
              </w:rPr>
              <w:t>3</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1.8:  Fixing Date for Determination of Stockholders of Record</w:t>
            </w:r>
          </w:p>
        </w:tc>
        <w:tc>
          <w:tcPr>
            <w:tcW w:w="2680" w:type="dxa"/>
            <w:vAlign w:val="bottom"/>
          </w:tcPr>
          <w:p>
            <w:pPr>
              <w:ind w:left="2140"/>
              <w:spacing w:after="0"/>
              <w:rPr>
                <w:sz w:val="20"/>
                <w:szCs w:val="20"/>
                <w:color w:val="auto"/>
              </w:rPr>
            </w:pPr>
            <w:r>
              <w:rPr>
                <w:rFonts w:ascii="Arial" w:cs="Arial" w:eastAsia="Arial" w:hAnsi="Arial"/>
                <w:sz w:val="18"/>
                <w:szCs w:val="18"/>
                <w:color w:val="auto"/>
              </w:rPr>
              <w:t>3</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Section 1.9:  List of Stockholders Entitled to Vote</w:t>
            </w:r>
          </w:p>
        </w:tc>
        <w:tc>
          <w:tcPr>
            <w:tcW w:w="2680" w:type="dxa"/>
            <w:vAlign w:val="bottom"/>
          </w:tcPr>
          <w:p>
            <w:pPr>
              <w:ind w:left="2140"/>
              <w:spacing w:after="0"/>
              <w:rPr>
                <w:sz w:val="20"/>
                <w:szCs w:val="20"/>
                <w:color w:val="auto"/>
              </w:rPr>
            </w:pPr>
            <w:r>
              <w:rPr>
                <w:rFonts w:ascii="Arial" w:cs="Arial" w:eastAsia="Arial" w:hAnsi="Arial"/>
                <w:sz w:val="18"/>
                <w:szCs w:val="18"/>
                <w:color w:val="auto"/>
              </w:rPr>
              <w:t>4</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1.10:  Inspectors of Elections</w:t>
            </w:r>
          </w:p>
        </w:tc>
        <w:tc>
          <w:tcPr>
            <w:tcW w:w="2680" w:type="dxa"/>
            <w:vAlign w:val="bottom"/>
          </w:tcPr>
          <w:p>
            <w:pPr>
              <w:ind w:left="2140"/>
              <w:spacing w:after="0"/>
              <w:rPr>
                <w:sz w:val="20"/>
                <w:szCs w:val="20"/>
                <w:color w:val="auto"/>
              </w:rPr>
            </w:pPr>
            <w:r>
              <w:rPr>
                <w:rFonts w:ascii="Arial" w:cs="Arial" w:eastAsia="Arial" w:hAnsi="Arial"/>
                <w:sz w:val="18"/>
                <w:szCs w:val="18"/>
                <w:color w:val="auto"/>
              </w:rPr>
              <w:t>4</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1.11:  Conduct of Meetings</w:t>
            </w:r>
          </w:p>
        </w:tc>
        <w:tc>
          <w:tcPr>
            <w:tcW w:w="2680" w:type="dxa"/>
            <w:vAlign w:val="bottom"/>
          </w:tcPr>
          <w:p>
            <w:pPr>
              <w:ind w:left="2140"/>
              <w:spacing w:after="0"/>
              <w:rPr>
                <w:sz w:val="20"/>
                <w:szCs w:val="20"/>
                <w:color w:val="auto"/>
              </w:rPr>
            </w:pPr>
            <w:r>
              <w:rPr>
                <w:rFonts w:ascii="Arial" w:cs="Arial" w:eastAsia="Arial" w:hAnsi="Arial"/>
                <w:sz w:val="18"/>
                <w:szCs w:val="18"/>
                <w:color w:val="auto"/>
              </w:rPr>
              <w:t>5</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1.12:  Notice of Stockholder Business; Nominations</w:t>
            </w:r>
          </w:p>
        </w:tc>
        <w:tc>
          <w:tcPr>
            <w:tcW w:w="2680" w:type="dxa"/>
            <w:vAlign w:val="bottom"/>
          </w:tcPr>
          <w:p>
            <w:pPr>
              <w:ind w:left="2140"/>
              <w:spacing w:after="0"/>
              <w:rPr>
                <w:sz w:val="20"/>
                <w:szCs w:val="20"/>
                <w:color w:val="auto"/>
              </w:rPr>
            </w:pPr>
            <w:r>
              <w:rPr>
                <w:rFonts w:ascii="Arial" w:cs="Arial" w:eastAsia="Arial" w:hAnsi="Arial"/>
                <w:sz w:val="18"/>
                <w:szCs w:val="18"/>
                <w:color w:val="auto"/>
              </w:rPr>
              <w:t>6</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w w:val="90"/>
              </w:rPr>
              <w:t>Section .1.13:</w:t>
            </w:r>
          </w:p>
        </w:tc>
        <w:tc>
          <w:tcPr>
            <w:tcW w:w="7520" w:type="dxa"/>
            <w:vAlign w:val="bottom"/>
          </w:tcPr>
          <w:p>
            <w:pPr>
              <w:ind w:left="160"/>
              <w:spacing w:after="0"/>
              <w:rPr>
                <w:sz w:val="20"/>
                <w:szCs w:val="20"/>
                <w:color w:val="auto"/>
              </w:rPr>
            </w:pPr>
            <w:r>
              <w:rPr>
                <w:rFonts w:ascii="Arial" w:cs="Arial" w:eastAsia="Arial" w:hAnsi="Arial"/>
                <w:sz w:val="18"/>
                <w:szCs w:val="18"/>
                <w:color w:val="auto"/>
              </w:rPr>
              <w:t>Emergency Bylaws</w:t>
            </w:r>
          </w:p>
        </w:tc>
        <w:tc>
          <w:tcPr>
            <w:tcW w:w="2680" w:type="dxa"/>
            <w:vAlign w:val="bottom"/>
          </w:tcPr>
          <w:p>
            <w:pPr>
              <w:ind w:left="2140"/>
              <w:spacing w:after="0"/>
              <w:rPr>
                <w:sz w:val="20"/>
                <w:szCs w:val="20"/>
                <w:color w:val="auto"/>
              </w:rPr>
            </w:pPr>
            <w:r>
              <w:rPr>
                <w:rFonts w:ascii="Arial" w:cs="Arial" w:eastAsia="Arial" w:hAnsi="Arial"/>
                <w:sz w:val="18"/>
                <w:szCs w:val="18"/>
                <w:color w:val="auto"/>
              </w:rPr>
              <w:t>17</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ARTICLE II: BOARD OF DIRECTORS</w:t>
            </w:r>
          </w:p>
        </w:tc>
        <w:tc>
          <w:tcPr>
            <w:tcW w:w="2680" w:type="dxa"/>
            <w:vAlign w:val="bottom"/>
          </w:tcPr>
          <w:p>
            <w:pPr>
              <w:ind w:left="2140"/>
              <w:spacing w:after="0"/>
              <w:rPr>
                <w:sz w:val="20"/>
                <w:szCs w:val="20"/>
                <w:color w:val="auto"/>
              </w:rPr>
            </w:pPr>
            <w:r>
              <w:rPr>
                <w:rFonts w:ascii="Arial" w:cs="Arial" w:eastAsia="Arial" w:hAnsi="Arial"/>
                <w:sz w:val="18"/>
                <w:szCs w:val="18"/>
                <w:color w:val="auto"/>
              </w:rPr>
              <w:t>17</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2.1:</w:t>
            </w:r>
          </w:p>
        </w:tc>
        <w:tc>
          <w:tcPr>
            <w:tcW w:w="7520" w:type="dxa"/>
            <w:vAlign w:val="bottom"/>
          </w:tcPr>
          <w:p>
            <w:pPr>
              <w:ind w:left="20"/>
              <w:spacing w:after="0"/>
              <w:rPr>
                <w:sz w:val="20"/>
                <w:szCs w:val="20"/>
                <w:color w:val="auto"/>
              </w:rPr>
            </w:pPr>
            <w:r>
              <w:rPr>
                <w:rFonts w:ascii="Arial" w:cs="Arial" w:eastAsia="Arial" w:hAnsi="Arial"/>
                <w:sz w:val="18"/>
                <w:szCs w:val="18"/>
                <w:color w:val="auto"/>
              </w:rPr>
              <w:t>Number; Qualifications</w:t>
            </w:r>
          </w:p>
        </w:tc>
        <w:tc>
          <w:tcPr>
            <w:tcW w:w="2680" w:type="dxa"/>
            <w:vAlign w:val="bottom"/>
          </w:tcPr>
          <w:p>
            <w:pPr>
              <w:ind w:left="2140"/>
              <w:spacing w:after="0"/>
              <w:rPr>
                <w:sz w:val="20"/>
                <w:szCs w:val="20"/>
                <w:color w:val="auto"/>
              </w:rPr>
            </w:pPr>
            <w:r>
              <w:rPr>
                <w:rFonts w:ascii="Arial" w:cs="Arial" w:eastAsia="Arial" w:hAnsi="Arial"/>
                <w:sz w:val="18"/>
                <w:szCs w:val="18"/>
                <w:color w:val="auto"/>
              </w:rPr>
              <w:t>17</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2.2:  Election; Resignation; Removal; Vacancies</w:t>
            </w:r>
          </w:p>
        </w:tc>
        <w:tc>
          <w:tcPr>
            <w:tcW w:w="2680" w:type="dxa"/>
            <w:vAlign w:val="bottom"/>
          </w:tcPr>
          <w:p>
            <w:pPr>
              <w:ind w:left="2140"/>
              <w:spacing w:after="0"/>
              <w:rPr>
                <w:sz w:val="20"/>
                <w:szCs w:val="20"/>
                <w:color w:val="auto"/>
              </w:rPr>
            </w:pPr>
            <w:r>
              <w:rPr>
                <w:rFonts w:ascii="Arial" w:cs="Arial" w:eastAsia="Arial" w:hAnsi="Arial"/>
                <w:sz w:val="18"/>
                <w:szCs w:val="18"/>
                <w:color w:val="auto"/>
              </w:rPr>
              <w:t>17</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Section 2.3:</w:t>
            </w:r>
          </w:p>
        </w:tc>
        <w:tc>
          <w:tcPr>
            <w:tcW w:w="7520" w:type="dxa"/>
            <w:vAlign w:val="bottom"/>
          </w:tcPr>
          <w:p>
            <w:pPr>
              <w:ind w:left="20"/>
              <w:spacing w:after="0"/>
              <w:rPr>
                <w:sz w:val="20"/>
                <w:szCs w:val="20"/>
                <w:color w:val="auto"/>
              </w:rPr>
            </w:pPr>
            <w:r>
              <w:rPr>
                <w:rFonts w:ascii="Arial" w:cs="Arial" w:eastAsia="Arial" w:hAnsi="Arial"/>
                <w:sz w:val="18"/>
                <w:szCs w:val="18"/>
                <w:color w:val="auto"/>
              </w:rPr>
              <w:t>Regular Meetings</w:t>
            </w:r>
          </w:p>
        </w:tc>
        <w:tc>
          <w:tcPr>
            <w:tcW w:w="2680" w:type="dxa"/>
            <w:vAlign w:val="bottom"/>
          </w:tcPr>
          <w:p>
            <w:pPr>
              <w:ind w:left="2140"/>
              <w:spacing w:after="0"/>
              <w:rPr>
                <w:sz w:val="20"/>
                <w:szCs w:val="20"/>
                <w:color w:val="auto"/>
              </w:rPr>
            </w:pPr>
            <w:r>
              <w:rPr>
                <w:rFonts w:ascii="Arial" w:cs="Arial" w:eastAsia="Arial" w:hAnsi="Arial"/>
                <w:sz w:val="18"/>
                <w:szCs w:val="18"/>
                <w:color w:val="auto"/>
              </w:rPr>
              <w:t>18</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2.4:</w:t>
            </w:r>
          </w:p>
        </w:tc>
        <w:tc>
          <w:tcPr>
            <w:tcW w:w="7520" w:type="dxa"/>
            <w:vAlign w:val="bottom"/>
          </w:tcPr>
          <w:p>
            <w:pPr>
              <w:ind w:left="20"/>
              <w:spacing w:after="0"/>
              <w:rPr>
                <w:sz w:val="20"/>
                <w:szCs w:val="20"/>
                <w:color w:val="auto"/>
              </w:rPr>
            </w:pPr>
            <w:r>
              <w:rPr>
                <w:rFonts w:ascii="Arial" w:cs="Arial" w:eastAsia="Arial" w:hAnsi="Arial"/>
                <w:sz w:val="18"/>
                <w:szCs w:val="18"/>
                <w:color w:val="auto"/>
              </w:rPr>
              <w:t>Special Meetings</w:t>
            </w:r>
          </w:p>
        </w:tc>
        <w:tc>
          <w:tcPr>
            <w:tcW w:w="2680" w:type="dxa"/>
            <w:vAlign w:val="bottom"/>
          </w:tcPr>
          <w:p>
            <w:pPr>
              <w:ind w:left="2140"/>
              <w:spacing w:after="0"/>
              <w:rPr>
                <w:sz w:val="20"/>
                <w:szCs w:val="20"/>
                <w:color w:val="auto"/>
              </w:rPr>
            </w:pPr>
            <w:r>
              <w:rPr>
                <w:rFonts w:ascii="Arial" w:cs="Arial" w:eastAsia="Arial" w:hAnsi="Arial"/>
                <w:sz w:val="18"/>
                <w:szCs w:val="18"/>
                <w:color w:val="auto"/>
              </w:rPr>
              <w:t>18</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2.5:  Remote Meetings Permitted</w:t>
            </w:r>
          </w:p>
        </w:tc>
        <w:tc>
          <w:tcPr>
            <w:tcW w:w="2680" w:type="dxa"/>
            <w:vAlign w:val="bottom"/>
          </w:tcPr>
          <w:p>
            <w:pPr>
              <w:ind w:left="2140"/>
              <w:spacing w:after="0"/>
              <w:rPr>
                <w:sz w:val="20"/>
                <w:szCs w:val="20"/>
                <w:color w:val="auto"/>
              </w:rPr>
            </w:pPr>
            <w:r>
              <w:rPr>
                <w:rFonts w:ascii="Arial" w:cs="Arial" w:eastAsia="Arial" w:hAnsi="Arial"/>
                <w:sz w:val="18"/>
                <w:szCs w:val="18"/>
                <w:color w:val="auto"/>
              </w:rPr>
              <w:t>18</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2.6:  Quorum; Vote Required for Action</w:t>
            </w:r>
          </w:p>
        </w:tc>
        <w:tc>
          <w:tcPr>
            <w:tcW w:w="2680" w:type="dxa"/>
            <w:vAlign w:val="bottom"/>
          </w:tcPr>
          <w:p>
            <w:pPr>
              <w:ind w:left="2140"/>
              <w:spacing w:after="0"/>
              <w:rPr>
                <w:sz w:val="20"/>
                <w:szCs w:val="20"/>
                <w:color w:val="auto"/>
              </w:rPr>
            </w:pPr>
            <w:r>
              <w:rPr>
                <w:rFonts w:ascii="Arial" w:cs="Arial" w:eastAsia="Arial" w:hAnsi="Arial"/>
                <w:sz w:val="18"/>
                <w:szCs w:val="18"/>
                <w:color w:val="auto"/>
              </w:rPr>
              <w:t>18</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2.7:</w:t>
            </w:r>
          </w:p>
        </w:tc>
        <w:tc>
          <w:tcPr>
            <w:tcW w:w="7520" w:type="dxa"/>
            <w:vAlign w:val="bottom"/>
          </w:tcPr>
          <w:p>
            <w:pPr>
              <w:ind w:left="20"/>
              <w:spacing w:after="0"/>
              <w:rPr>
                <w:sz w:val="20"/>
                <w:szCs w:val="20"/>
                <w:color w:val="auto"/>
              </w:rPr>
            </w:pPr>
            <w:r>
              <w:rPr>
                <w:rFonts w:ascii="Arial" w:cs="Arial" w:eastAsia="Arial" w:hAnsi="Arial"/>
                <w:sz w:val="18"/>
                <w:szCs w:val="18"/>
                <w:color w:val="auto"/>
              </w:rPr>
              <w:t>Organization</w:t>
            </w:r>
          </w:p>
        </w:tc>
        <w:tc>
          <w:tcPr>
            <w:tcW w:w="2680" w:type="dxa"/>
            <w:vAlign w:val="bottom"/>
          </w:tcPr>
          <w:p>
            <w:pPr>
              <w:ind w:left="2140"/>
              <w:spacing w:after="0"/>
              <w:rPr>
                <w:sz w:val="20"/>
                <w:szCs w:val="20"/>
                <w:color w:val="auto"/>
              </w:rPr>
            </w:pPr>
            <w:r>
              <w:rPr>
                <w:rFonts w:ascii="Arial" w:cs="Arial" w:eastAsia="Arial" w:hAnsi="Arial"/>
                <w:sz w:val="18"/>
                <w:szCs w:val="18"/>
                <w:color w:val="auto"/>
              </w:rPr>
              <w:t>18</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Section 2.8:  Unanimous Action by Directors in Lieu of a Meeting</w:t>
            </w:r>
          </w:p>
        </w:tc>
        <w:tc>
          <w:tcPr>
            <w:tcW w:w="2680" w:type="dxa"/>
            <w:vAlign w:val="bottom"/>
          </w:tcPr>
          <w:p>
            <w:pPr>
              <w:ind w:left="2140"/>
              <w:spacing w:after="0"/>
              <w:rPr>
                <w:sz w:val="20"/>
                <w:szCs w:val="20"/>
                <w:color w:val="auto"/>
              </w:rPr>
            </w:pPr>
            <w:r>
              <w:rPr>
                <w:rFonts w:ascii="Arial" w:cs="Arial" w:eastAsia="Arial" w:hAnsi="Arial"/>
                <w:sz w:val="18"/>
                <w:szCs w:val="18"/>
                <w:color w:val="auto"/>
              </w:rPr>
              <w:t>19</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2.9:</w:t>
            </w:r>
          </w:p>
        </w:tc>
        <w:tc>
          <w:tcPr>
            <w:tcW w:w="7520" w:type="dxa"/>
            <w:vAlign w:val="bottom"/>
          </w:tcPr>
          <w:p>
            <w:pPr>
              <w:ind w:left="20"/>
              <w:spacing w:after="0"/>
              <w:rPr>
                <w:sz w:val="20"/>
                <w:szCs w:val="20"/>
                <w:color w:val="auto"/>
              </w:rPr>
            </w:pPr>
            <w:r>
              <w:rPr>
                <w:rFonts w:ascii="Arial" w:cs="Arial" w:eastAsia="Arial" w:hAnsi="Arial"/>
                <w:sz w:val="18"/>
                <w:szCs w:val="18"/>
                <w:color w:val="auto"/>
              </w:rPr>
              <w:t>Powers</w:t>
            </w:r>
          </w:p>
        </w:tc>
        <w:tc>
          <w:tcPr>
            <w:tcW w:w="2680" w:type="dxa"/>
            <w:vAlign w:val="bottom"/>
          </w:tcPr>
          <w:p>
            <w:pPr>
              <w:ind w:left="2140"/>
              <w:spacing w:after="0"/>
              <w:rPr>
                <w:sz w:val="20"/>
                <w:szCs w:val="20"/>
                <w:color w:val="auto"/>
              </w:rPr>
            </w:pPr>
            <w:r>
              <w:rPr>
                <w:rFonts w:ascii="Arial" w:cs="Arial" w:eastAsia="Arial" w:hAnsi="Arial"/>
                <w:sz w:val="18"/>
                <w:szCs w:val="18"/>
                <w:color w:val="auto"/>
              </w:rPr>
              <w:t>19</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Section 2.10:  Compensation of Directors</w:t>
            </w:r>
          </w:p>
        </w:tc>
        <w:tc>
          <w:tcPr>
            <w:tcW w:w="2680" w:type="dxa"/>
            <w:vAlign w:val="bottom"/>
          </w:tcPr>
          <w:p>
            <w:pPr>
              <w:ind w:left="2140"/>
              <w:spacing w:after="0"/>
              <w:rPr>
                <w:sz w:val="20"/>
                <w:szCs w:val="20"/>
                <w:color w:val="auto"/>
              </w:rPr>
            </w:pPr>
            <w:r>
              <w:rPr>
                <w:rFonts w:ascii="Arial" w:cs="Arial" w:eastAsia="Arial" w:hAnsi="Arial"/>
                <w:sz w:val="18"/>
                <w:szCs w:val="18"/>
                <w:color w:val="auto"/>
              </w:rPr>
              <w:t>19</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w w:val="95"/>
              </w:rPr>
              <w:t>Section 2.11:</w:t>
            </w:r>
          </w:p>
        </w:tc>
        <w:tc>
          <w:tcPr>
            <w:tcW w:w="752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2680" w:type="dxa"/>
            <w:vAlign w:val="bottom"/>
          </w:tcPr>
          <w:p>
            <w:pPr>
              <w:ind w:left="2140"/>
              <w:spacing w:after="0"/>
              <w:rPr>
                <w:sz w:val="20"/>
                <w:szCs w:val="20"/>
                <w:color w:val="auto"/>
              </w:rPr>
            </w:pPr>
            <w:r>
              <w:rPr>
                <w:rFonts w:ascii="Arial" w:cs="Arial" w:eastAsia="Arial" w:hAnsi="Arial"/>
                <w:sz w:val="18"/>
                <w:szCs w:val="18"/>
                <w:color w:val="auto"/>
              </w:rPr>
              <w:t>19</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ARTICLE III: COMMITTEES</w:t>
            </w:r>
          </w:p>
        </w:tc>
        <w:tc>
          <w:tcPr>
            <w:tcW w:w="2680" w:type="dxa"/>
            <w:vAlign w:val="bottom"/>
          </w:tcPr>
          <w:p>
            <w:pPr>
              <w:ind w:left="2140"/>
              <w:spacing w:after="0"/>
              <w:rPr>
                <w:sz w:val="20"/>
                <w:szCs w:val="20"/>
                <w:color w:val="auto"/>
              </w:rPr>
            </w:pPr>
            <w:r>
              <w:rPr>
                <w:rFonts w:ascii="Arial" w:cs="Arial" w:eastAsia="Arial" w:hAnsi="Arial"/>
                <w:sz w:val="18"/>
                <w:szCs w:val="18"/>
                <w:color w:val="auto"/>
              </w:rPr>
              <w:t>19</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3.1:</w:t>
            </w:r>
          </w:p>
        </w:tc>
        <w:tc>
          <w:tcPr>
            <w:tcW w:w="7520" w:type="dxa"/>
            <w:vAlign w:val="bottom"/>
          </w:tcPr>
          <w:p>
            <w:pPr>
              <w:ind w:left="20"/>
              <w:spacing w:after="0"/>
              <w:rPr>
                <w:sz w:val="20"/>
                <w:szCs w:val="20"/>
                <w:color w:val="auto"/>
              </w:rPr>
            </w:pPr>
            <w:r>
              <w:rPr>
                <w:rFonts w:ascii="Arial" w:cs="Arial" w:eastAsia="Arial" w:hAnsi="Arial"/>
                <w:sz w:val="18"/>
                <w:szCs w:val="18"/>
                <w:color w:val="auto"/>
              </w:rPr>
              <w:t>Committees</w:t>
            </w:r>
          </w:p>
        </w:tc>
        <w:tc>
          <w:tcPr>
            <w:tcW w:w="2680" w:type="dxa"/>
            <w:vAlign w:val="bottom"/>
          </w:tcPr>
          <w:p>
            <w:pPr>
              <w:ind w:left="2140"/>
              <w:spacing w:after="0"/>
              <w:rPr>
                <w:sz w:val="20"/>
                <w:szCs w:val="20"/>
                <w:color w:val="auto"/>
              </w:rPr>
            </w:pPr>
            <w:r>
              <w:rPr>
                <w:rFonts w:ascii="Arial" w:cs="Arial" w:eastAsia="Arial" w:hAnsi="Arial"/>
                <w:sz w:val="18"/>
                <w:szCs w:val="18"/>
                <w:color w:val="auto"/>
              </w:rPr>
              <w:t>19</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3.2:</w:t>
            </w:r>
          </w:p>
        </w:tc>
        <w:tc>
          <w:tcPr>
            <w:tcW w:w="7520" w:type="dxa"/>
            <w:vAlign w:val="bottom"/>
          </w:tcPr>
          <w:p>
            <w:pPr>
              <w:ind w:left="20"/>
              <w:spacing w:after="0"/>
              <w:rPr>
                <w:sz w:val="20"/>
                <w:szCs w:val="20"/>
                <w:color w:val="auto"/>
              </w:rPr>
            </w:pPr>
            <w:r>
              <w:rPr>
                <w:rFonts w:ascii="Arial" w:cs="Arial" w:eastAsia="Arial" w:hAnsi="Arial"/>
                <w:sz w:val="18"/>
                <w:szCs w:val="18"/>
                <w:color w:val="auto"/>
              </w:rPr>
              <w:t>Committee Rules</w:t>
            </w:r>
          </w:p>
        </w:tc>
        <w:tc>
          <w:tcPr>
            <w:tcW w:w="2680" w:type="dxa"/>
            <w:vAlign w:val="bottom"/>
          </w:tcPr>
          <w:p>
            <w:pPr>
              <w:ind w:left="2140"/>
              <w:spacing w:after="0"/>
              <w:rPr>
                <w:sz w:val="20"/>
                <w:szCs w:val="20"/>
                <w:color w:val="auto"/>
              </w:rPr>
            </w:pPr>
            <w:r>
              <w:rPr>
                <w:rFonts w:ascii="Arial" w:cs="Arial" w:eastAsia="Arial" w:hAnsi="Arial"/>
                <w:sz w:val="18"/>
                <w:szCs w:val="18"/>
                <w:color w:val="auto"/>
              </w:rPr>
              <w:t>19</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ARTICLE IV: OFFICERS; CHAIRPERSON; LEAD INDEPENDENT DIRECTOR</w:t>
            </w:r>
          </w:p>
        </w:tc>
        <w:tc>
          <w:tcPr>
            <w:tcW w:w="2680" w:type="dxa"/>
            <w:vAlign w:val="bottom"/>
          </w:tcPr>
          <w:p>
            <w:pPr>
              <w:ind w:left="2140"/>
              <w:spacing w:after="0"/>
              <w:rPr>
                <w:sz w:val="20"/>
                <w:szCs w:val="20"/>
                <w:color w:val="auto"/>
              </w:rPr>
            </w:pPr>
            <w:r>
              <w:rPr>
                <w:rFonts w:ascii="Arial" w:cs="Arial" w:eastAsia="Arial" w:hAnsi="Arial"/>
                <w:sz w:val="18"/>
                <w:szCs w:val="18"/>
                <w:color w:val="auto"/>
              </w:rPr>
              <w:t>20</w:t>
            </w:r>
          </w:p>
        </w:tc>
      </w:tr>
      <w:tr>
        <w:trPr>
          <w:trHeight w:val="229"/>
        </w:trPr>
        <w:tc>
          <w:tcPr>
            <w:tcW w:w="1020" w:type="dxa"/>
            <w:vAlign w:val="bottom"/>
          </w:tcPr>
          <w:p>
            <w:pPr>
              <w:spacing w:after="0"/>
              <w:rPr>
                <w:sz w:val="20"/>
                <w:szCs w:val="20"/>
                <w:color w:val="auto"/>
              </w:rPr>
            </w:pPr>
            <w:r>
              <w:rPr>
                <w:rFonts w:ascii="Arial" w:cs="Arial" w:eastAsia="Arial" w:hAnsi="Arial"/>
                <w:sz w:val="18"/>
                <w:szCs w:val="18"/>
                <w:color w:val="auto"/>
              </w:rPr>
              <w:t>Section 4.1:</w:t>
            </w:r>
          </w:p>
        </w:tc>
        <w:tc>
          <w:tcPr>
            <w:tcW w:w="7520" w:type="dxa"/>
            <w:vAlign w:val="bottom"/>
          </w:tcPr>
          <w:p>
            <w:pPr>
              <w:ind w:left="20"/>
              <w:spacing w:after="0"/>
              <w:rPr>
                <w:sz w:val="20"/>
                <w:szCs w:val="20"/>
                <w:color w:val="auto"/>
              </w:rPr>
            </w:pPr>
            <w:r>
              <w:rPr>
                <w:rFonts w:ascii="Arial" w:cs="Arial" w:eastAsia="Arial" w:hAnsi="Arial"/>
                <w:sz w:val="18"/>
                <w:szCs w:val="18"/>
                <w:color w:val="auto"/>
              </w:rPr>
              <w:t>Generally</w:t>
            </w:r>
          </w:p>
        </w:tc>
        <w:tc>
          <w:tcPr>
            <w:tcW w:w="2680" w:type="dxa"/>
            <w:vAlign w:val="bottom"/>
          </w:tcPr>
          <w:p>
            <w:pPr>
              <w:ind w:left="2140"/>
              <w:spacing w:after="0"/>
              <w:rPr>
                <w:sz w:val="20"/>
                <w:szCs w:val="20"/>
                <w:color w:val="auto"/>
              </w:rPr>
            </w:pPr>
            <w:r>
              <w:rPr>
                <w:rFonts w:ascii="Arial" w:cs="Arial" w:eastAsia="Arial" w:hAnsi="Arial"/>
                <w:sz w:val="18"/>
                <w:szCs w:val="18"/>
                <w:color w:val="auto"/>
              </w:rPr>
              <w:t>20</w:t>
            </w:r>
          </w:p>
        </w:tc>
      </w:tr>
      <w:tr>
        <w:trPr>
          <w:trHeight w:val="229"/>
        </w:trPr>
        <w:tc>
          <w:tcPr>
            <w:tcW w:w="8540" w:type="dxa"/>
            <w:vAlign w:val="bottom"/>
            <w:gridSpan w:val="2"/>
          </w:tcPr>
          <w:p>
            <w:pPr>
              <w:spacing w:after="0"/>
              <w:rPr>
                <w:sz w:val="20"/>
                <w:szCs w:val="20"/>
                <w:color w:val="auto"/>
              </w:rPr>
            </w:pPr>
            <w:r>
              <w:rPr>
                <w:rFonts w:ascii="Arial" w:cs="Arial" w:eastAsia="Arial" w:hAnsi="Arial"/>
                <w:sz w:val="18"/>
                <w:szCs w:val="18"/>
                <w:color w:val="auto"/>
              </w:rPr>
              <w:t>Section 4.2:  Chief Executive Officer</w:t>
            </w:r>
          </w:p>
        </w:tc>
        <w:tc>
          <w:tcPr>
            <w:tcW w:w="2680" w:type="dxa"/>
            <w:vAlign w:val="bottom"/>
          </w:tcPr>
          <w:p>
            <w:pPr>
              <w:ind w:left="2140"/>
              <w:spacing w:after="0"/>
              <w:rPr>
                <w:sz w:val="20"/>
                <w:szCs w:val="20"/>
                <w:color w:val="auto"/>
              </w:rPr>
            </w:pPr>
            <w:r>
              <w:rPr>
                <w:rFonts w:ascii="Arial" w:cs="Arial" w:eastAsia="Arial" w:hAnsi="Arial"/>
                <w:sz w:val="18"/>
                <w:szCs w:val="18"/>
                <w:color w:val="auto"/>
              </w:rPr>
              <w:t>20</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Section 4.3:</w:t>
            </w:r>
          </w:p>
        </w:tc>
        <w:tc>
          <w:tcPr>
            <w:tcW w:w="7520" w:type="dxa"/>
            <w:vAlign w:val="bottom"/>
          </w:tcPr>
          <w:p>
            <w:pPr>
              <w:ind w:left="20"/>
              <w:spacing w:after="0"/>
              <w:rPr>
                <w:sz w:val="20"/>
                <w:szCs w:val="20"/>
                <w:color w:val="auto"/>
              </w:rPr>
            </w:pPr>
            <w:r>
              <w:rPr>
                <w:rFonts w:ascii="Arial" w:cs="Arial" w:eastAsia="Arial" w:hAnsi="Arial"/>
                <w:sz w:val="18"/>
                <w:szCs w:val="18"/>
                <w:color w:val="auto"/>
              </w:rPr>
              <w:t>Chairperson of the Board</w:t>
            </w:r>
          </w:p>
        </w:tc>
        <w:tc>
          <w:tcPr>
            <w:tcW w:w="2680" w:type="dxa"/>
            <w:vAlign w:val="bottom"/>
          </w:tcPr>
          <w:p>
            <w:pPr>
              <w:ind w:left="2140"/>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20"/>
          </w:cols>
          <w:pgMar w:left="340" w:top="1273"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Section 4.4:  Lead Independent Director</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4.5:</w:t>
            </w:r>
          </w:p>
        </w:tc>
        <w:tc>
          <w:tcPr>
            <w:tcW w:w="8420" w:type="dxa"/>
            <w:vAlign w:val="bottom"/>
          </w:tcPr>
          <w:p>
            <w:pPr>
              <w:ind w:left="40"/>
              <w:spacing w:after="0"/>
              <w:rPr>
                <w:sz w:val="20"/>
                <w:szCs w:val="20"/>
                <w:color w:val="auto"/>
              </w:rPr>
            </w:pPr>
            <w:r>
              <w:rPr>
                <w:rFonts w:ascii="Arial" w:cs="Arial" w:eastAsia="Arial" w:hAnsi="Arial"/>
                <w:sz w:val="18"/>
                <w:szCs w:val="18"/>
                <w:color w:val="auto"/>
              </w:rPr>
              <w:t>President</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Section 4.6:  Chief Financial Officer</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Section 4.7:</w:t>
            </w:r>
          </w:p>
        </w:tc>
        <w:tc>
          <w:tcPr>
            <w:tcW w:w="84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4.8:</w:t>
            </w:r>
          </w:p>
        </w:tc>
        <w:tc>
          <w:tcPr>
            <w:tcW w:w="842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Section 4.9:</w:t>
            </w:r>
          </w:p>
        </w:tc>
        <w:tc>
          <w:tcPr>
            <w:tcW w:w="8420" w:type="dxa"/>
            <w:vAlign w:val="bottom"/>
          </w:tcPr>
          <w:p>
            <w:pPr>
              <w:ind w:left="40"/>
              <w:spacing w:after="0"/>
              <w:rPr>
                <w:sz w:val="20"/>
                <w:szCs w:val="20"/>
                <w:color w:val="auto"/>
              </w:rPr>
            </w:pPr>
            <w:r>
              <w:rPr>
                <w:rFonts w:ascii="Arial" w:cs="Arial" w:eastAsia="Arial" w:hAnsi="Arial"/>
                <w:sz w:val="18"/>
                <w:szCs w:val="18"/>
                <w:color w:val="auto"/>
              </w:rPr>
              <w:t>Secretary</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Section 4.10:  Delegation of Authority</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w w:val="93"/>
              </w:rPr>
              <w:t>Section 4.11:</w:t>
            </w:r>
          </w:p>
        </w:tc>
        <w:tc>
          <w:tcPr>
            <w:tcW w:w="8420" w:type="dxa"/>
            <w:vAlign w:val="bottom"/>
          </w:tcPr>
          <w:p>
            <w:pPr>
              <w:ind w:left="120"/>
              <w:spacing w:after="0"/>
              <w:rPr>
                <w:sz w:val="20"/>
                <w:szCs w:val="20"/>
                <w:color w:val="auto"/>
              </w:rPr>
            </w:pPr>
            <w:r>
              <w:rPr>
                <w:rFonts w:ascii="Arial" w:cs="Arial" w:eastAsia="Arial" w:hAnsi="Arial"/>
                <w:sz w:val="18"/>
                <w:szCs w:val="18"/>
                <w:color w:val="auto"/>
              </w:rPr>
              <w:t>Removal</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ARTICLE V: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Section 5.1:  Certificates; Uncertificated Shares</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Section 5.2:  Lost, Stolen or Destroyed Stock Certificates; Issuance of New Certificates or Uncertificated Shares</w:t>
            </w: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5.3:</w:t>
            </w:r>
          </w:p>
        </w:tc>
        <w:tc>
          <w:tcPr>
            <w:tcW w:w="8420" w:type="dxa"/>
            <w:vAlign w:val="bottom"/>
          </w:tcPr>
          <w:p>
            <w:pPr>
              <w:ind w:left="40"/>
              <w:spacing w:after="0"/>
              <w:rPr>
                <w:sz w:val="20"/>
                <w:szCs w:val="20"/>
                <w:color w:val="auto"/>
              </w:rPr>
            </w:pPr>
            <w:r>
              <w:rPr>
                <w:rFonts w:ascii="Arial" w:cs="Arial" w:eastAsia="Arial" w:hAnsi="Arial"/>
                <w:sz w:val="18"/>
                <w:szCs w:val="18"/>
                <w:color w:val="auto"/>
              </w:rPr>
              <w:t>Other Regulations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ARTICLE VI: INDEMNIFICATION</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Section 6.1:  Indemnification of Officers and Directors</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Section 6.2:  Advance of Expenses</w:t>
            </w: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Section 6.3:  Non-Exclusivity of Rights</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Section 6.4:</w:t>
            </w:r>
          </w:p>
        </w:tc>
        <w:tc>
          <w:tcPr>
            <w:tcW w:w="8420" w:type="dxa"/>
            <w:vAlign w:val="bottom"/>
          </w:tcPr>
          <w:p>
            <w:pPr>
              <w:ind w:left="40"/>
              <w:spacing w:after="0"/>
              <w:rPr>
                <w:sz w:val="20"/>
                <w:szCs w:val="20"/>
                <w:color w:val="auto"/>
              </w:rPr>
            </w:pPr>
            <w:r>
              <w:rPr>
                <w:rFonts w:ascii="Arial" w:cs="Arial" w:eastAsia="Arial" w:hAnsi="Arial"/>
                <w:sz w:val="18"/>
                <w:szCs w:val="18"/>
                <w:color w:val="auto"/>
              </w:rPr>
              <w:t>Indemnification Contracts</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Section 6.5:  Right of Indemnitee to Bring Suit</w:t>
            </w: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Section 6.6:  Nature of Rights</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6.7:</w:t>
            </w:r>
          </w:p>
        </w:tc>
        <w:tc>
          <w:tcPr>
            <w:tcW w:w="842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Section 6.8:  Indemnification for Successful Defense</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ARTICLE VII: NOTICES</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7.1:</w:t>
            </w:r>
          </w:p>
        </w:tc>
        <w:tc>
          <w:tcPr>
            <w:tcW w:w="8420" w:type="dxa"/>
            <w:vAlign w:val="bottom"/>
          </w:tcPr>
          <w:p>
            <w:pPr>
              <w:ind w:left="40"/>
              <w:spacing w:after="0"/>
              <w:rPr>
                <w:sz w:val="20"/>
                <w:szCs w:val="20"/>
                <w:color w:val="auto"/>
              </w:rPr>
            </w:pPr>
            <w:r>
              <w:rPr>
                <w:rFonts w:ascii="Arial" w:cs="Arial" w:eastAsia="Arial" w:hAnsi="Arial"/>
                <w:sz w:val="18"/>
                <w:szCs w:val="18"/>
                <w:color w:val="auto"/>
              </w:rPr>
              <w:t>Notice</w:t>
            </w: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Section 7.2:  Waiver of Notice</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ARTICLE VIII: INTERESTED DIRECTORS</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8.1:</w:t>
            </w:r>
          </w:p>
        </w:tc>
        <w:tc>
          <w:tcPr>
            <w:tcW w:w="8420" w:type="dxa"/>
            <w:vAlign w:val="bottom"/>
          </w:tcPr>
          <w:p>
            <w:pPr>
              <w:ind w:left="40"/>
              <w:spacing w:after="0"/>
              <w:rPr>
                <w:sz w:val="20"/>
                <w:szCs w:val="20"/>
                <w:color w:val="auto"/>
              </w:rPr>
            </w:pPr>
            <w:r>
              <w:rPr>
                <w:rFonts w:ascii="Arial" w:cs="Arial" w:eastAsia="Arial" w:hAnsi="Arial"/>
                <w:sz w:val="18"/>
                <w:szCs w:val="18"/>
                <w:color w:val="auto"/>
              </w:rPr>
              <w:t>Interested Directors</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Section 8.2:</w:t>
            </w:r>
          </w:p>
        </w:tc>
        <w:tc>
          <w:tcPr>
            <w:tcW w:w="8420" w:type="dxa"/>
            <w:vAlign w:val="bottom"/>
          </w:tcPr>
          <w:p>
            <w:pPr>
              <w:ind w:left="40"/>
              <w:spacing w:after="0"/>
              <w:rPr>
                <w:sz w:val="20"/>
                <w:szCs w:val="20"/>
                <w:color w:val="auto"/>
              </w:rPr>
            </w:pPr>
            <w:r>
              <w:rPr>
                <w:rFonts w:ascii="Arial" w:cs="Arial" w:eastAsia="Arial" w:hAnsi="Arial"/>
                <w:sz w:val="18"/>
                <w:szCs w:val="18"/>
                <w:color w:val="auto"/>
              </w:rPr>
              <w:t>Quorum</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9.1:</w:t>
            </w:r>
          </w:p>
        </w:tc>
        <w:tc>
          <w:tcPr>
            <w:tcW w:w="842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9.2:</w:t>
            </w:r>
          </w:p>
        </w:tc>
        <w:tc>
          <w:tcPr>
            <w:tcW w:w="8420" w:type="dxa"/>
            <w:vAlign w:val="bottom"/>
          </w:tcPr>
          <w:p>
            <w:pPr>
              <w:ind w:left="40"/>
              <w:spacing w:after="0"/>
              <w:rPr>
                <w:sz w:val="20"/>
                <w:szCs w:val="20"/>
                <w:color w:val="auto"/>
              </w:rPr>
            </w:pPr>
            <w:r>
              <w:rPr>
                <w:rFonts w:ascii="Arial" w:cs="Arial" w:eastAsia="Arial" w:hAnsi="Arial"/>
                <w:sz w:val="18"/>
                <w:szCs w:val="18"/>
                <w:color w:val="auto"/>
              </w:rPr>
              <w:t>Seal</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420" w:type="dxa"/>
            <w:vAlign w:val="bottom"/>
            <w:gridSpan w:val="2"/>
          </w:tcPr>
          <w:p>
            <w:pPr>
              <w:spacing w:after="0"/>
              <w:rPr>
                <w:sz w:val="20"/>
                <w:szCs w:val="20"/>
                <w:color w:val="auto"/>
              </w:rPr>
            </w:pPr>
            <w:r>
              <w:rPr>
                <w:rFonts w:ascii="Arial" w:cs="Arial" w:eastAsia="Arial" w:hAnsi="Arial"/>
                <w:sz w:val="18"/>
                <w:szCs w:val="18"/>
                <w:color w:val="auto"/>
              </w:rPr>
              <w:t>Section 9.3:  Form of Records</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Section 9.4:  Reliance Upon Books and Records</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Section 9.5:  Certificate of Incorporation Governs</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Section 9.6:</w:t>
            </w:r>
          </w:p>
        </w:tc>
        <w:tc>
          <w:tcPr>
            <w:tcW w:w="842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Section 9.7:</w:t>
            </w:r>
          </w:p>
        </w:tc>
        <w:tc>
          <w:tcPr>
            <w:tcW w:w="8420" w:type="dxa"/>
            <w:vAlign w:val="bottom"/>
          </w:tcPr>
          <w:p>
            <w:pPr>
              <w:ind w:left="40"/>
              <w:spacing w:after="0"/>
              <w:rPr>
                <w:sz w:val="20"/>
                <w:szCs w:val="20"/>
                <w:color w:val="auto"/>
              </w:rPr>
            </w:pPr>
            <w:r>
              <w:rPr>
                <w:rFonts w:ascii="Arial" w:cs="Arial" w:eastAsia="Arial" w:hAnsi="Arial"/>
                <w:sz w:val="18"/>
                <w:szCs w:val="18"/>
                <w:color w:val="auto"/>
              </w:rPr>
              <w:t>Time Periods</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ARTICLE X: AMENDMENT</w:t>
            </w: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ARTICLE XI: EXCLUSIVE FORUM</w:t>
            </w: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860"/>
          </w:cols>
          <w:pgMar w:left="340" w:top="1327" w:right="69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PUBMATIC,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on February 27, 2023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Effective on February 27, 2023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STOCKHOLDERS</w:t>
      </w:r>
    </w:p>
    <w:p>
      <w:pPr>
        <w:spacing w:after="0" w:line="220" w:lineRule="exact"/>
        <w:rPr>
          <w:sz w:val="20"/>
          <w:szCs w:val="20"/>
          <w:color w:val="auto"/>
        </w:rPr>
      </w:pPr>
    </w:p>
    <w:p>
      <w:pPr>
        <w:ind w:right="280" w:firstLine="648"/>
        <w:spacing w:after="0" w:line="267" w:lineRule="auto"/>
        <w:rPr>
          <w:sz w:val="20"/>
          <w:szCs w:val="20"/>
          <w:color w:val="auto"/>
        </w:rPr>
      </w:pPr>
      <w:r>
        <w:rPr>
          <w:rFonts w:ascii="Arial" w:cs="Arial" w:eastAsia="Arial" w:hAnsi="Arial"/>
          <w:sz w:val="21"/>
          <w:szCs w:val="21"/>
          <w:b w:val="1"/>
          <w:bCs w:val="1"/>
          <w:u w:val="single" w:color="auto"/>
          <w:color w:val="auto"/>
        </w:rPr>
        <w:t>Section 1.1</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Annual Meetings</w:t>
      </w:r>
      <w:r>
        <w:rPr>
          <w:rFonts w:ascii="Arial" w:cs="Arial" w:eastAsia="Arial" w:hAnsi="Arial"/>
          <w:sz w:val="21"/>
          <w:szCs w:val="21"/>
          <w:b w:val="1"/>
          <w:bCs w:val="1"/>
          <w:color w:val="auto"/>
        </w:rPr>
        <w:t xml:space="preserve">. </w:t>
      </w:r>
      <w:r>
        <w:rPr>
          <w:rFonts w:ascii="Arial" w:cs="Arial" w:eastAsia="Arial" w:hAnsi="Arial"/>
          <w:sz w:val="21"/>
          <w:szCs w:val="21"/>
          <w:color w:val="auto"/>
        </w:rPr>
        <w:t>If required by applicable law, an annual meeting of stockholders shall be held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election of directors at such date and time as the Board of Directors (the “</w:t>
      </w:r>
      <w:r>
        <w:rPr>
          <w:rFonts w:ascii="Arial" w:cs="Arial" w:eastAsia="Arial" w:hAnsi="Arial"/>
          <w:sz w:val="21"/>
          <w:szCs w:val="21"/>
          <w:b w:val="1"/>
          <w:bCs w:val="1"/>
          <w:i w:val="1"/>
          <w:iCs w:val="1"/>
          <w:color w:val="auto"/>
        </w:rPr>
        <w:t>Board</w:t>
      </w:r>
      <w:r>
        <w:rPr>
          <w:rFonts w:ascii="Arial" w:cs="Arial" w:eastAsia="Arial" w:hAnsi="Arial"/>
          <w:sz w:val="21"/>
          <w:szCs w:val="21"/>
          <w:color w:val="auto"/>
        </w:rPr>
        <w:t>”) of PubMatic, Inc. (the “</w:t>
      </w:r>
      <w:r>
        <w:rPr>
          <w:rFonts w:ascii="Arial" w:cs="Arial" w:eastAsia="Arial" w:hAnsi="Arial"/>
          <w:sz w:val="21"/>
          <w:szCs w:val="21"/>
          <w:b w:val="1"/>
          <w:bCs w:val="1"/>
          <w:i w:val="1"/>
          <w:iCs w:val="1"/>
          <w:color w:val="auto"/>
        </w:rPr>
        <w:t>Corporation</w:t>
      </w:r>
      <w:r>
        <w:rPr>
          <w:rFonts w:ascii="Arial" w:cs="Arial" w:eastAsia="Arial" w:hAnsi="Arial"/>
          <w:sz w:val="21"/>
          <w:szCs w:val="21"/>
          <w:color w:val="auto"/>
        </w:rPr>
        <w:t>”) shall each year fix. The meeting may be held either at a place, within or without the State of Delaware as permitted by the Delaware General Corporation Law (the “</w:t>
      </w:r>
      <w:r>
        <w:rPr>
          <w:rFonts w:ascii="Arial" w:cs="Arial" w:eastAsia="Arial" w:hAnsi="Arial"/>
          <w:sz w:val="21"/>
          <w:szCs w:val="21"/>
          <w:b w:val="1"/>
          <w:bCs w:val="1"/>
          <w:i w:val="1"/>
          <w:iCs w:val="1"/>
          <w:color w:val="auto"/>
        </w:rPr>
        <w:t>DGCL</w:t>
      </w:r>
      <w:r>
        <w:rPr>
          <w:rFonts w:ascii="Arial" w:cs="Arial" w:eastAsia="Arial" w:hAnsi="Arial"/>
          <w:sz w:val="21"/>
          <w:szCs w:val="21"/>
          <w:color w:val="auto"/>
        </w:rPr>
        <w:t>”), or by means of remote communication as the Board in its sole discretion may determine. Any proper business may be transacted at the annual meeting.</w:t>
      </w:r>
    </w:p>
    <w:p>
      <w:pPr>
        <w:spacing w:after="0" w:line="61"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b w:val="1"/>
          <w:bCs w:val="1"/>
          <w:u w:val="single" w:color="auto"/>
          <w:color w:val="auto"/>
        </w:rPr>
        <w:t>Section 1.2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Special Meetings</w:t>
      </w:r>
      <w:r>
        <w:rPr>
          <w:rFonts w:ascii="Arial" w:cs="Arial" w:eastAsia="Arial" w:hAnsi="Arial"/>
          <w:sz w:val="22"/>
          <w:szCs w:val="22"/>
          <w:b w:val="1"/>
          <w:bCs w:val="1"/>
          <w:color w:val="auto"/>
        </w:rPr>
        <w:t xml:space="preserve">. </w:t>
      </w:r>
      <w:r>
        <w:rPr>
          <w:rFonts w:ascii="Arial" w:cs="Arial" w:eastAsia="Arial" w:hAnsi="Arial"/>
          <w:sz w:val="22"/>
          <w:szCs w:val="22"/>
          <w:color w:val="auto"/>
        </w:rPr>
        <w:t>Special meetings of stockholders for any purpose or purposes shall be called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manner set forth in the Restated Certificate of Incorporation of the Corporation (as the same may be amended and/or restated from time to time, the “</w:t>
      </w:r>
      <w:r>
        <w:rPr>
          <w:rFonts w:ascii="Arial" w:cs="Arial" w:eastAsia="Arial" w:hAnsi="Arial"/>
          <w:sz w:val="22"/>
          <w:szCs w:val="22"/>
          <w:b w:val="1"/>
          <w:bCs w:val="1"/>
          <w:i w:val="1"/>
          <w:iCs w:val="1"/>
          <w:color w:val="auto"/>
        </w:rPr>
        <w:t>Certificate of Incorporation</w:t>
      </w:r>
      <w:r>
        <w:rPr>
          <w:rFonts w:ascii="Arial" w:cs="Arial" w:eastAsia="Arial" w:hAnsi="Arial"/>
          <w:sz w:val="22"/>
          <w:szCs w:val="22"/>
          <w:color w:val="auto"/>
        </w:rPr>
        <w:t>”). The special meeting may be held either at a place, within or without the State of Delaware, or by means of remote communication as the Board in its sole discretion may determine. Business transacted at any special meeting of stockholders shall be limited to matters relating to the purpose or purposes stated in the notice of the meeting.</w:t>
      </w:r>
    </w:p>
    <w:p>
      <w:pPr>
        <w:spacing w:after="0" w:line="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u w:val="single" w:color="auto"/>
          <w:color w:val="auto"/>
        </w:rPr>
        <w:t>Section 1.3</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Notice of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all meetings of stockholders shall be given in accordance with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 (including, without limitation, as set forth in Section 7.1 of these Bylaws) stating the date, time and place, if any, of the meeting,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the stockholders entitled to notice of the meeting.</w:t>
      </w:r>
    </w:p>
    <w:p>
      <w:pPr>
        <w:spacing w:after="0" w:line="4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u w:val="single" w:color="auto"/>
          <w:color w:val="auto"/>
        </w:rPr>
        <w:t>Section 1.4</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Adjournments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Section 1.5 of these Bylaws, the person presiding over the meeting shall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power to adjourn the meeting to another time, date and place (if any) regardless of whether a quorum is present, at any time and for any reason. Any meeting of stockholders, annual or special, may be adjourned from time to time (including an adjournment taken to address a technical failure to convene or continue a meeting using remote communication), and notice need not be given of any such adjourned meeting if the time, date and place (if any) thereof and the means of remote communication (if any) by which stockholders and proxy holders may be deemed to be present in person and vote 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- 1 -</w:t>
      </w:r>
    </w:p>
    <w:p>
      <w:pPr>
        <w:sectPr>
          <w:pgSz w:w="11900" w:h="16838" w:orient="portrait"/>
          <w:cols w:equalWidth="0" w:num="1">
            <w:col w:w="11240"/>
          </w:cols>
          <w:pgMar w:left="320" w:top="1273" w:right="339" w:bottom="1440" w:gutter="0" w:footer="0" w:header="0"/>
        </w:sectPr>
      </w:pPr>
    </w:p>
    <w:bookmarkStart w:id="105" w:name="page106"/>
    <w:bookmarkEnd w:id="105"/>
    <w:p>
      <w:pPr>
        <w:jc w:val="both"/>
        <w:spacing w:after="0" w:line="289" w:lineRule="auto"/>
        <w:rPr>
          <w:sz w:val="20"/>
          <w:szCs w:val="20"/>
          <w:color w:val="auto"/>
        </w:rPr>
      </w:pPr>
      <w:r>
        <w:rPr>
          <w:rFonts w:ascii="Arial" w:cs="Arial" w:eastAsia="Arial" w:hAnsi="Arial"/>
          <w:sz w:val="19"/>
          <w:szCs w:val="19"/>
          <w:color w:val="auto"/>
        </w:rPr>
        <w:t xml:space="preserve">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the adjournment is for more than thirty (30) days, a notice of the adjourned meeting shall be given to</w:t>
      </w:r>
      <w:r>
        <w:rPr>
          <w:rFonts w:ascii="Arial" w:cs="Arial" w:eastAsia="Arial" w:hAnsi="Arial"/>
          <w:sz w:val="19"/>
          <w:szCs w:val="19"/>
          <w:i w:val="1"/>
          <w:iCs w:val="1"/>
          <w:color w:val="auto"/>
        </w:rPr>
        <w:t xml:space="preserve"> </w:t>
      </w:r>
      <w:r>
        <w:rPr>
          <w:rFonts w:ascii="Arial" w:cs="Arial" w:eastAsia="Arial" w:hAnsi="Arial"/>
          <w:sz w:val="19"/>
          <w:szCs w:val="19"/>
          <w:color w:val="auto"/>
        </w:rPr>
        <w:t>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At the adjourned meeting, the Corporation may transact any business that might have been transacted at the original meeting. If a quorum is present at the original meeting, it shall also be deemed present at the adjourned meeting. To the fullest extent permitted by law, the Board may postpone, reschedule or cancel at any time and for any reason any previously scheduled special or annual meeting of stockholders before it is to be held, regardless of whether any notice or public disclosure with respect to any such meeting has been sent or made pursuant to Section 1.3 hereof or otherwise, in which case notice shall be provided to the stockholders of the new date, time and place, if any, of the meeting as provided in Section 1.3 above.</w:t>
      </w:r>
    </w:p>
    <w:p>
      <w:pPr>
        <w:spacing w:after="0" w:line="30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b w:val="1"/>
          <w:bCs w:val="1"/>
          <w:u w:val="single" w:color="auto"/>
          <w:color w:val="auto"/>
        </w:rPr>
        <w:t>Section 1.5</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Quorum</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provided by applicable law, the Certificate of Incorporation or these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Bylaws, at each meeting of stockholders the holders of a majority of the voting power of the shares of stock issued and outstanding and entitled to vote at the meeting, present in person or represented by proxy, shall constitute a quorum for the transaction of business;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xml:space="preserve">, that where a separate vote by a class or classes or series of stock is required by applicable law or the Certificate of Incorporation, the holders of a majority of the voting power of the shares of such class or classes or series of the stock issued and outstanding and entitled to vote on such matter, present in person or represented by proxy at the meeting, shall constitute a quorum entitled to take action with respect to the vote on such matter.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Shares of the Corporation’s stock belonging to (i) the Corporation, (ii) another corporation, if a majority of the shares entitled to vote in the election of directors of such other corporation are held, directly or indirectly, by the Corporation or (iii) any other entity, if a majority of the voting power of such other entity is held, directly or indirectly, by the Corporation or if such other entity is otherwise controlled, directly or indirectly, by the Corporation, shall neither be entitled to vote nor be counted for quorum purposes;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the foregoing shall not limit the right of the Corporation or any other corporation to vote any shares of the Corporation’s stock held by it in a fiduciary capacity and to count such shares for purposes of determining a quorum. A quorum, once established at a meeting, shall not be broken by the withdrawal of enough votes to leave less than a quorum.</w:t>
      </w:r>
    </w:p>
    <w:p>
      <w:pPr>
        <w:spacing w:after="0" w:line="3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u w:val="single" w:color="auto"/>
          <w:color w:val="auto"/>
        </w:rPr>
        <w:t>Section 1.6</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Organization</w:t>
      </w:r>
      <w:r>
        <w:rPr>
          <w:rFonts w:ascii="Arial" w:cs="Arial" w:eastAsia="Arial" w:hAnsi="Arial"/>
          <w:sz w:val="22"/>
          <w:szCs w:val="22"/>
          <w:b w:val="1"/>
          <w:bCs w:val="1"/>
          <w:color w:val="auto"/>
        </w:rPr>
        <w:t xml:space="preserve">. </w:t>
      </w:r>
      <w:r>
        <w:rPr>
          <w:rFonts w:ascii="Arial" w:cs="Arial" w:eastAsia="Arial" w:hAnsi="Arial"/>
          <w:sz w:val="22"/>
          <w:szCs w:val="22"/>
          <w:color w:val="auto"/>
        </w:rPr>
        <w:t>Meetings of stockholders shall be presided over by (a) such person as the Board may</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 or (b) in the absence of such a person, the Chairperson of the Board, or (c) in the absence of such person, the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240"/>
          </w:cols>
          <w:pgMar w:left="320" w:top="1401" w:right="339" w:bottom="1440" w:gutter="0" w:footer="0" w:header="0"/>
        </w:sectPr>
      </w:pPr>
    </w:p>
    <w:bookmarkStart w:id="106" w:name="page107"/>
    <w:bookmarkEnd w:id="106"/>
    <w:p>
      <w:pPr>
        <w:jc w:val="both"/>
        <w:spacing w:after="0" w:line="254" w:lineRule="auto"/>
        <w:rPr>
          <w:sz w:val="20"/>
          <w:szCs w:val="20"/>
          <w:color w:val="auto"/>
        </w:rPr>
      </w:pPr>
      <w:r>
        <w:rPr>
          <w:rFonts w:ascii="Arial" w:cs="Arial" w:eastAsia="Arial" w:hAnsi="Arial"/>
          <w:sz w:val="22"/>
          <w:szCs w:val="22"/>
          <w:color w:val="auto"/>
        </w:rPr>
        <w:t>or, (d) in the absence of such person, the Chief Executive Officer of the Corporation, or (e) in the absence of such person, the President of the Corporation, or (f) in the absence of such person, by a Vice President. The Secretary of the Corporation shall act as secretary of the meeting, but in such person’s absence the chairperson of the meeting may appoint any person to act as secretary of the meeting.</w:t>
      </w:r>
    </w:p>
    <w:p>
      <w:pPr>
        <w:spacing w:after="0" w:line="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u w:val="single" w:color="auto"/>
          <w:color w:val="auto"/>
        </w:rPr>
        <w:t>Section 1.7</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Voting; Proxies</w:t>
      </w:r>
      <w:r>
        <w:rPr>
          <w:rFonts w:ascii="Arial" w:cs="Arial" w:eastAsia="Arial" w:hAnsi="Arial"/>
          <w:sz w:val="19"/>
          <w:szCs w:val="19"/>
          <w:b w:val="1"/>
          <w:bCs w:val="1"/>
          <w:color w:val="auto"/>
        </w:rPr>
        <w:t xml:space="preserve">. </w:t>
      </w:r>
      <w:r>
        <w:rPr>
          <w:rFonts w:ascii="Arial" w:cs="Arial" w:eastAsia="Arial" w:hAnsi="Arial"/>
          <w:sz w:val="19"/>
          <w:szCs w:val="19"/>
          <w:color w:val="auto"/>
        </w:rPr>
        <w:t>Each stockholder of record entitled to vote at a meeting of stockholders may authorize</w:t>
      </w:r>
      <w:r>
        <w:rPr>
          <w:rFonts w:ascii="Arial" w:cs="Arial" w:eastAsia="Arial" w:hAnsi="Arial"/>
          <w:sz w:val="19"/>
          <w:szCs w:val="19"/>
          <w:b w:val="1"/>
          <w:bCs w:val="1"/>
          <w:color w:val="auto"/>
        </w:rPr>
        <w:t xml:space="preserve"> </w:t>
      </w:r>
      <w:r>
        <w:rPr>
          <w:rFonts w:ascii="Arial" w:cs="Arial" w:eastAsia="Arial" w:hAnsi="Arial"/>
          <w:sz w:val="19"/>
          <w:szCs w:val="19"/>
          <w:color w:val="auto"/>
        </w:rPr>
        <w:t>another person or persons to act for such stockholder by proxy. Such a proxy may be prepared, transmitted and delivered in any manner permitted by applicable law. Except as may be required in the Certificate of Incorporation, directors shall be elected by a plurality of the votes cast by the holders of the shares present in person or represented by proxy at the meeting and entitled to vote on the election of directors. At all meetings of stockholders at which a quorum is present, unless a different or minimum vote is required by applicable law, rule or regulation applicable to the Corporation or its securities, the rules or regulations of any stock exchange applicable to the Corporation, the Certificate of Incorporation or these Bylaws, in which case such different or minimum vote shall be the applicable vote on the matter, every matter other than the election of directors shall be decided by the affirmative vote of the holders of a majority of the voting power of the shares of stock entitled to vote on such matter that are present in person or represented by proxy at the meeting and are voted for or against the matter (or if there are two or more classes or series of stock entitled to vote as separate classes, then in the case of each class or series, the holders of a majority of the voting power of the shares of stock of that class or series present in person or represented by proxy at the meeting voting for or against such matter).</w:t>
      </w:r>
    </w:p>
    <w:p>
      <w:pPr>
        <w:spacing w:after="0" w:line="3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stockholder directly or indirectly soliciting proxies from other stockholders must use a proxy card color other than white, which shall be reserved for exclusive use by the Board.</w:t>
      </w:r>
    </w:p>
    <w:p>
      <w:pPr>
        <w:spacing w:after="0" w:line="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u w:val="single" w:color="auto"/>
          <w:color w:val="auto"/>
        </w:rPr>
        <w:t>Section 1.8</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Fixing Date for Determination of Stockholders of Record</w:t>
      </w:r>
      <w:r>
        <w:rPr>
          <w:rFonts w:ascii="Arial" w:cs="Arial" w:eastAsia="Arial" w:hAnsi="Arial"/>
          <w:sz w:val="19"/>
          <w:szCs w:val="19"/>
          <w:b w:val="1"/>
          <w:bCs w:val="1"/>
          <w:color w:val="auto"/>
        </w:rPr>
        <w:t xml:space="preserve">. </w:t>
      </w:r>
      <w:r>
        <w:rPr>
          <w:rFonts w:ascii="Arial" w:cs="Arial" w:eastAsia="Arial" w:hAnsi="Arial"/>
          <w:sz w:val="19"/>
          <w:szCs w:val="19"/>
          <w:color w:val="auto"/>
        </w:rPr>
        <w:t>In order that the Corporation may determine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6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order that the Corporation may determine the stockholders entitled to receive payment of any dividend or other distribution or allotment of any rights, or entitled to exercise any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240"/>
          </w:cols>
          <w:pgMar w:left="320" w:top="1401" w:right="339" w:bottom="1440" w:gutter="0" w:footer="0" w:header="0"/>
        </w:sectPr>
      </w:pPr>
    </w:p>
    <w:bookmarkStart w:id="107" w:name="page108"/>
    <w:bookmarkEnd w:id="107"/>
    <w:p>
      <w:pPr>
        <w:jc w:val="both"/>
        <w:spacing w:after="0" w:line="251" w:lineRule="auto"/>
        <w:rPr>
          <w:sz w:val="20"/>
          <w:szCs w:val="20"/>
          <w:color w:val="auto"/>
        </w:rPr>
      </w:pPr>
      <w:r>
        <w:rPr>
          <w:rFonts w:ascii="Arial" w:cs="Arial" w:eastAsia="Arial" w:hAnsi="Arial"/>
          <w:sz w:val="22"/>
          <w:szCs w:val="22"/>
          <w:color w:val="auto"/>
        </w:rPr>
        <w:t>in respect of any change, conversion or exchange of stock or for the purpose of any other lawful action, the Board may fix, in advance, a record date, which shall not precede the date upon which the resolution fixing the record date is adopted by the Board and which shall not be more than sixty (60) days prior to such action. If no such record date is fixed by the Board, then the record date for determining stockholders for any such purpose shall be at 5:00 p.m. Eastern Time on the day on which the Board adopts the resolution relating thereto.</w:t>
      </w:r>
    </w:p>
    <w:p>
      <w:pPr>
        <w:spacing w:after="0" w:line="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u w:val="single" w:color="auto"/>
          <w:color w:val="auto"/>
        </w:rPr>
        <w:t>Section 1.9</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List of Stockholders Entitled to Vote</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shall prepare, no later than the tenth (10th) day</w:t>
      </w:r>
      <w:r>
        <w:rPr>
          <w:rFonts w:ascii="Arial" w:cs="Arial" w:eastAsia="Arial" w:hAnsi="Arial"/>
          <w:sz w:val="19"/>
          <w:szCs w:val="19"/>
          <w:b w:val="1"/>
          <w:bCs w:val="1"/>
          <w:color w:val="auto"/>
        </w:rPr>
        <w:t xml:space="preserve"> </w:t>
      </w:r>
      <w:r>
        <w:rPr>
          <w:rFonts w:ascii="Arial" w:cs="Arial" w:eastAsia="Arial" w:hAnsi="Arial"/>
          <w:sz w:val="19"/>
          <w:szCs w:val="19"/>
          <w:color w:val="auto"/>
        </w:rPr>
        <w:t>before each meeting of stockholders, a complete list of stockholders entitled to vote at the meeting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Nothing in this Section 1.9 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either (a) on a reasonably accessible electronic network as permitted by applicable law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the information required to gain access to the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1.9 or to vote in person or by proxy at any meeting of stockholders. Notwithstanding the foregoing, the Corporation may maintain and authorize examination of the list of stockholders in any manner expressly permitted by the DGCL at the time.</w:t>
      </w:r>
    </w:p>
    <w:p>
      <w:pPr>
        <w:spacing w:after="0" w:line="49"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u w:val="single" w:color="auto"/>
          <w:color w:val="auto"/>
        </w:rPr>
        <w:t>Section 1.10</w:t>
      </w:r>
      <w:r>
        <w:rPr>
          <w:rFonts w:ascii="Arial" w:cs="Arial" w:eastAsia="Arial" w:hAnsi="Arial"/>
          <w:sz w:val="22"/>
          <w:szCs w:val="22"/>
          <w:b w:val="1"/>
          <w:bCs w:val="1"/>
          <w:color w:val="auto"/>
        </w:rPr>
        <w:t>:</w:t>
      </w:r>
      <w:r>
        <w:rPr>
          <w:sz w:val="20"/>
          <w:szCs w:val="20"/>
          <w:color w:val="auto"/>
        </w:rPr>
        <w:tab/>
      </w:r>
      <w:r>
        <w:rPr>
          <w:rFonts w:ascii="Arial" w:cs="Arial" w:eastAsia="Arial" w:hAnsi="Arial"/>
          <w:sz w:val="18"/>
          <w:szCs w:val="18"/>
          <w:b w:val="1"/>
          <w:bCs w:val="1"/>
          <w:u w:val="single" w:color="auto"/>
          <w:color w:val="auto"/>
        </w:rPr>
        <w:t>Inspectors of Elections</w:t>
      </w:r>
      <w:r>
        <w:rPr>
          <w:rFonts w:ascii="Arial" w:cs="Arial" w:eastAsia="Arial" w:hAnsi="Arial"/>
          <w:sz w:val="18"/>
          <w:szCs w:val="18"/>
          <w:b w:val="1"/>
          <w:bCs w:val="1"/>
          <w:color w:val="auto"/>
        </w:rPr>
        <w:t>.</w:t>
      </w:r>
    </w:p>
    <w:p>
      <w:pPr>
        <w:spacing w:after="0" w:line="11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1.10.1 </w:t>
      </w:r>
      <w:r>
        <w:rPr>
          <w:rFonts w:ascii="Arial" w:cs="Arial" w:eastAsia="Arial" w:hAnsi="Arial"/>
          <w:sz w:val="21"/>
          <w:szCs w:val="21"/>
          <w:u w:val="single" w:color="auto"/>
          <w:color w:val="auto"/>
        </w:rPr>
        <w:t>Applicability</w:t>
      </w:r>
      <w:r>
        <w:rPr>
          <w:rFonts w:ascii="Arial" w:cs="Arial" w:eastAsia="Arial" w:hAnsi="Arial"/>
          <w:sz w:val="21"/>
          <w:szCs w:val="21"/>
          <w:color w:val="auto"/>
        </w:rPr>
        <w:t>. Unless otherwise required by the Certificate of Incorporation or by applicable law, the following provisions of this Section 1.10 shall apply only if and when the Corporation has a class of voting stock that is: (a) listed on a national securities exchange; (b) authorized for quotation on an interdealer quotation system of a registered national securities association; or (c) held of record by more than two thousand (2,000) stockholders. In all other cases, observance of the provisions of this Section 1.10 shall be optional, and at the discretion of the Board.</w:t>
      </w:r>
    </w:p>
    <w:p>
      <w:pPr>
        <w:spacing w:after="0" w:line="66"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9"/>
          <w:szCs w:val="19"/>
          <w:color w:val="auto"/>
        </w:rPr>
        <w:t xml:space="preserve">1.10.2 </w:t>
      </w:r>
      <w:r>
        <w:rPr>
          <w:rFonts w:ascii="Arial" w:cs="Arial" w:eastAsia="Arial" w:hAnsi="Arial"/>
          <w:sz w:val="19"/>
          <w:szCs w:val="19"/>
          <w:u w:val="single" w:color="auto"/>
          <w:color w:val="auto"/>
        </w:rPr>
        <w:t>Appointment</w:t>
      </w:r>
      <w:r>
        <w:rPr>
          <w:rFonts w:ascii="Arial" w:cs="Arial" w:eastAsia="Arial" w:hAnsi="Arial"/>
          <w:sz w:val="19"/>
          <w:szCs w:val="19"/>
          <w:color w:val="auto"/>
        </w:rPr>
        <w:t>. The Corporation shall, in advance of any meeting of stockholders, appoint one or more inspectors of election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shall appoint one or more inspectors to act at the meeting.</w:t>
      </w:r>
    </w:p>
    <w:p>
      <w:pPr>
        <w:spacing w:after="0" w:line="48"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 xml:space="preserve">1.10.3 </w:t>
      </w:r>
      <w:r>
        <w:rPr>
          <w:rFonts w:ascii="Arial" w:cs="Arial" w:eastAsia="Arial" w:hAnsi="Arial"/>
          <w:sz w:val="19"/>
          <w:szCs w:val="19"/>
          <w:u w:val="single" w:color="auto"/>
          <w:color w:val="auto"/>
        </w:rPr>
        <w:t>Inspector’s Oath</w:t>
      </w:r>
      <w:r>
        <w:rPr>
          <w:rFonts w:ascii="Arial" w:cs="Arial" w:eastAsia="Arial" w:hAnsi="Arial"/>
          <w:sz w:val="19"/>
          <w:szCs w:val="19"/>
          <w:color w:val="auto"/>
        </w:rPr>
        <w:t>. Each inspector of election, before entering upon the discharge of his duties, shall take and sign an oath faithfully to execute the duties of inspector with strict impartiality and according to the best of such inspector’s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- 4 -</w:t>
      </w:r>
    </w:p>
    <w:p>
      <w:pPr>
        <w:sectPr>
          <w:pgSz w:w="11900" w:h="16838" w:orient="portrait"/>
          <w:cols w:equalWidth="0" w:num="1">
            <w:col w:w="11240"/>
          </w:cols>
          <w:pgMar w:left="320" w:top="1401" w:right="339" w:bottom="1440" w:gutter="0" w:footer="0" w:header="0"/>
        </w:sectPr>
      </w:pPr>
    </w:p>
    <w:bookmarkStart w:id="108" w:name="page109"/>
    <w:bookmarkEnd w:id="108"/>
    <w:p>
      <w:pPr>
        <w:jc w:val="both"/>
        <w:ind w:firstLine="648"/>
        <w:spacing w:after="0" w:line="297" w:lineRule="auto"/>
        <w:rPr>
          <w:sz w:val="20"/>
          <w:szCs w:val="20"/>
          <w:color w:val="auto"/>
        </w:rPr>
      </w:pPr>
      <w:r>
        <w:rPr>
          <w:rFonts w:ascii="Arial" w:cs="Arial" w:eastAsia="Arial" w:hAnsi="Arial"/>
          <w:sz w:val="19"/>
          <w:szCs w:val="19"/>
          <w:color w:val="auto"/>
        </w:rPr>
        <w:t xml:space="preserve">1.10.4 </w:t>
      </w:r>
      <w:r>
        <w:rPr>
          <w:rFonts w:ascii="Arial" w:cs="Arial" w:eastAsia="Arial" w:hAnsi="Arial"/>
          <w:sz w:val="19"/>
          <w:szCs w:val="19"/>
          <w:u w:val="single" w:color="auto"/>
          <w:color w:val="auto"/>
        </w:rPr>
        <w:t>Duties of Inspectors</w:t>
      </w:r>
      <w:r>
        <w:rPr>
          <w:rFonts w:ascii="Arial" w:cs="Arial" w:eastAsia="Arial" w:hAnsi="Arial"/>
          <w:sz w:val="19"/>
          <w:szCs w:val="19"/>
          <w:color w:val="auto"/>
        </w:rPr>
        <w:t>. At a meeting of stockholders, the inspectors of election shall (a) ascertain the number of shares outstanding and the voting power of each share, (b) determine the shares represented at a meeting and the validity of proxies and ballots, (c) count all votes and ballots, (d) determine and retain for a reasonable period of time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w:t>
      </w:r>
    </w:p>
    <w:p>
      <w:pPr>
        <w:spacing w:after="0" w:line="5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1.10.5 </w:t>
      </w:r>
      <w:r>
        <w:rPr>
          <w:rFonts w:ascii="Arial" w:cs="Arial" w:eastAsia="Arial" w:hAnsi="Arial"/>
          <w:sz w:val="21"/>
          <w:szCs w:val="21"/>
          <w:u w:val="single" w:color="auto"/>
          <w:color w:val="auto"/>
        </w:rPr>
        <w:t>Opening and Closing of Polls</w:t>
      </w:r>
      <w:r>
        <w:rPr>
          <w:rFonts w:ascii="Arial" w:cs="Arial" w:eastAsia="Arial" w:hAnsi="Arial"/>
          <w:sz w:val="21"/>
          <w:szCs w:val="21"/>
          <w:color w:val="auto"/>
        </w:rPr>
        <w:t>. The date and time of the opening and the closing of the polls for each matter upon which the stockholders will vote at a meeting shall be announced at the meeting. No ballot, proxies or votes, nor any revocations thereof or changes thereto, shall be accepted by the inspectors after the closing of the polls unless the Court of Chancery of the State of Delaware upon application by a stockholder shall determine otherwise.</w:t>
      </w:r>
    </w:p>
    <w:p>
      <w:pPr>
        <w:spacing w:after="0" w:line="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1.10.6 </w:t>
      </w:r>
      <w:r>
        <w:rPr>
          <w:rFonts w:ascii="Arial" w:cs="Arial" w:eastAsia="Arial" w:hAnsi="Arial"/>
          <w:sz w:val="19"/>
          <w:szCs w:val="19"/>
          <w:u w:val="single" w:color="auto"/>
          <w:color w:val="auto"/>
        </w:rPr>
        <w:t>Determinations</w:t>
      </w:r>
      <w:r>
        <w:rPr>
          <w:rFonts w:ascii="Arial" w:cs="Arial" w:eastAsia="Arial" w:hAnsi="Arial"/>
          <w:sz w:val="19"/>
          <w:szCs w:val="19"/>
          <w:color w:val="auto"/>
        </w:rPr>
        <w:t>. In determining the validity and counting of proxies and ballots, the inspectors shall be limited to an examination of the proxies, any envelopes submitted with those proxies, any information provided pursuant to Section 211(a)</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(2)b.(i) or (iii) of the DGCL, or in accordance with Sections 211(e) or 212(c)(2)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of their determinations pursuant to this Section 1.10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color w:val="auto"/>
        </w:rPr>
        <w:t xml:space="preserve">Section 1.11: </w:t>
      </w:r>
      <w:r>
        <w:rPr>
          <w:rFonts w:ascii="Arial" w:cs="Arial" w:eastAsia="Arial" w:hAnsi="Arial"/>
          <w:sz w:val="19"/>
          <w:szCs w:val="19"/>
          <w:b w:val="1"/>
          <w:bCs w:val="1"/>
          <w:u w:val="single" w:color="auto"/>
          <w:color w:val="auto"/>
        </w:rPr>
        <w:t>Conduct of Meetings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may adopt by resolution such rules and regulations for the conduct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or the Board shall determine; (iv) restrictions on entry to the meeting after the time fixed for the commencement thereof; (v) limitations on the time allotted to questions or comments by participants; (vi) restricting the use of audio/video recording devices and cell phones; (vii) complying with any state and local laws and regulations concerning safety and security; (viii) procedures (if any) requiring attendees to provide the Corporation advance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- 5 -</w:t>
      </w:r>
    </w:p>
    <w:p>
      <w:pPr>
        <w:sectPr>
          <w:pgSz w:w="11900" w:h="16838" w:orient="portrait"/>
          <w:cols w:equalWidth="0" w:num="1">
            <w:col w:w="11240"/>
          </w:cols>
          <w:pgMar w:left="320" w:top="1401" w:right="33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21"/>
          <w:szCs w:val="21"/>
          <w:color w:val="auto"/>
        </w:rPr>
        <w:t>of their intent to attend the meeting; and (ix) any additional attendance or other procedures or requirements for proponents submitting a proposal pursuant to Rule 14a-8 promulgated under the Exchange Act (defined below).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spacing w:after="0" w:line="6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b w:val="1"/>
          <w:bCs w:val="1"/>
          <w:u w:val="single" w:color="auto"/>
          <w:color w:val="auto"/>
        </w:rPr>
        <w:t>Notice of Stockholder Business; Nominations</w:t>
      </w:r>
      <w:r>
        <w:rPr>
          <w:rFonts w:ascii="Arial" w:cs="Arial" w:eastAsia="Arial" w:hAnsi="Arial"/>
          <w:sz w:val="19"/>
          <w:szCs w:val="19"/>
          <w:b w:val="1"/>
          <w:bCs w:val="1"/>
          <w:color w:val="auto"/>
        </w:rPr>
        <w:t>.</w:t>
      </w:r>
    </w:p>
    <w:p>
      <w:pPr>
        <w:spacing w:after="0" w:line="11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1.12.1</w:t>
      </w:r>
      <w:r>
        <w:rPr>
          <w:sz w:val="20"/>
          <w:szCs w:val="20"/>
          <w:color w:val="auto"/>
        </w:rPr>
        <w:tab/>
      </w:r>
      <w:r>
        <w:rPr>
          <w:rFonts w:ascii="Arial" w:cs="Arial" w:eastAsia="Arial" w:hAnsi="Arial"/>
          <w:sz w:val="19"/>
          <w:szCs w:val="19"/>
          <w:u w:val="single" w:color="auto"/>
          <w:color w:val="auto"/>
        </w:rPr>
        <w:t>Annual Meeting of Stockholders</w:t>
      </w:r>
      <w:r>
        <w:rPr>
          <w:rFonts w:ascii="Arial" w:cs="Arial" w:eastAsia="Arial" w:hAnsi="Arial"/>
          <w:sz w:val="19"/>
          <w:szCs w:val="19"/>
          <w:color w:val="auto"/>
        </w:rPr>
        <w:t>.</w:t>
      </w:r>
    </w:p>
    <w:p>
      <w:pPr>
        <w:spacing w:after="0" w:line="112" w:lineRule="exact"/>
        <w:rPr>
          <w:sz w:val="20"/>
          <w:szCs w:val="20"/>
          <w:color w:val="auto"/>
        </w:rPr>
      </w:pPr>
    </w:p>
    <w:p>
      <w:pPr>
        <w:jc w:val="both"/>
        <w:ind w:firstLine="656"/>
        <w:spacing w:after="0" w:line="291" w:lineRule="auto"/>
        <w:tabs>
          <w:tab w:leader="none" w:pos="1256" w:val="left"/>
        </w:tabs>
        <w:numPr>
          <w:ilvl w:val="0"/>
          <w:numId w:val="34"/>
        </w:numPr>
        <w:rPr>
          <w:rFonts w:ascii="Arial" w:cs="Arial" w:eastAsia="Arial" w:hAnsi="Arial"/>
          <w:sz w:val="19"/>
          <w:szCs w:val="19"/>
          <w:color w:val="auto"/>
        </w:rPr>
      </w:pPr>
      <w:r>
        <w:rPr>
          <w:rFonts w:ascii="Arial" w:cs="Arial" w:eastAsia="Arial" w:hAnsi="Arial"/>
          <w:sz w:val="19"/>
          <w:szCs w:val="19"/>
          <w:color w:val="auto"/>
        </w:rPr>
        <w:t>Nominations of persons for election to the Board and the proposal of other business to be considered by the stockholders may be made at an annual meeting of stockholders only: (i) pursuant to the Corporation’s notice of such meeting (or any supplement thereto), (ii) by or at the direction of the Board or any committee thereof or (iii) by any stockholder of the Corporation who was a stockholder of record at the time of giving of the notice provided for in this Section 1.12 (the “</w:t>
      </w:r>
      <w:r>
        <w:rPr>
          <w:rFonts w:ascii="Arial" w:cs="Arial" w:eastAsia="Arial" w:hAnsi="Arial"/>
          <w:sz w:val="19"/>
          <w:szCs w:val="19"/>
          <w:b w:val="1"/>
          <w:bCs w:val="1"/>
          <w:i w:val="1"/>
          <w:iCs w:val="1"/>
          <w:color w:val="auto"/>
        </w:rPr>
        <w:t>Record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Stockholder</w:t>
      </w:r>
      <w:r>
        <w:rPr>
          <w:rFonts w:ascii="Arial" w:cs="Arial" w:eastAsia="Arial" w:hAnsi="Arial"/>
          <w:sz w:val="19"/>
          <w:szCs w:val="19"/>
          <w:color w:val="auto"/>
        </w:rPr>
        <w:t>”), who is entitled to vote at such meeting and who complies with the notice and other procedures set forth in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Section 1.12 in all applicable respects. For the avoidance of doubt, the foregoing clause (iii)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at an annual meeting of stockholders, and such stockholder must fully comply with the notice and other procedures set forth in this Section 1.12 to make such nominations or propose business before an annual meeting.</w:t>
      </w:r>
    </w:p>
    <w:p>
      <w:pPr>
        <w:spacing w:after="0" w:line="50" w:lineRule="exact"/>
        <w:rPr>
          <w:rFonts w:ascii="Arial" w:cs="Arial" w:eastAsia="Arial" w:hAnsi="Arial"/>
          <w:sz w:val="19"/>
          <w:szCs w:val="19"/>
          <w:color w:val="auto"/>
        </w:rPr>
      </w:pPr>
    </w:p>
    <w:p>
      <w:pPr>
        <w:ind w:firstLine="656"/>
        <w:spacing w:after="0" w:line="263" w:lineRule="auto"/>
        <w:tabs>
          <w:tab w:leader="none" w:pos="1264" w:val="left"/>
        </w:tabs>
        <w:numPr>
          <w:ilvl w:val="0"/>
          <w:numId w:val="34"/>
        </w:numPr>
        <w:rPr>
          <w:rFonts w:ascii="Arial" w:cs="Arial" w:eastAsia="Arial" w:hAnsi="Arial"/>
          <w:sz w:val="22"/>
          <w:szCs w:val="22"/>
          <w:color w:val="auto"/>
        </w:rPr>
      </w:pPr>
      <w:r>
        <w:rPr>
          <w:rFonts w:ascii="Arial" w:cs="Arial" w:eastAsia="Arial" w:hAnsi="Arial"/>
          <w:sz w:val="22"/>
          <w:szCs w:val="22"/>
          <w:color w:val="auto"/>
        </w:rPr>
        <w:t>For nominations or other business to be properly brought before an annual meeting by a Record Stockholder pursuant to Section 1.12.1(a) of these Bylaws:</w:t>
      </w:r>
    </w:p>
    <w:p>
      <w:pPr>
        <w:spacing w:after="0" w:line="80" w:lineRule="exact"/>
        <w:rPr>
          <w:rFonts w:ascii="Arial" w:cs="Arial" w:eastAsia="Arial" w:hAnsi="Arial"/>
          <w:sz w:val="22"/>
          <w:szCs w:val="22"/>
          <w:color w:val="auto"/>
        </w:rPr>
      </w:pPr>
    </w:p>
    <w:p>
      <w:pPr>
        <w:ind w:left="660" w:firstLine="644"/>
        <w:spacing w:after="0" w:line="341" w:lineRule="auto"/>
        <w:tabs>
          <w:tab w:leader="none" w:pos="1766" w:val="left"/>
        </w:tabs>
        <w:numPr>
          <w:ilvl w:val="1"/>
          <w:numId w:val="34"/>
        </w:numPr>
        <w:rPr>
          <w:rFonts w:ascii="Arial" w:cs="Arial" w:eastAsia="Arial" w:hAnsi="Arial"/>
          <w:sz w:val="19"/>
          <w:szCs w:val="19"/>
          <w:color w:val="auto"/>
        </w:rPr>
      </w:pPr>
      <w:r>
        <w:rPr>
          <w:rFonts w:ascii="Arial" w:cs="Arial" w:eastAsia="Arial" w:hAnsi="Arial"/>
          <w:sz w:val="19"/>
          <w:szCs w:val="19"/>
          <w:color w:val="auto"/>
        </w:rPr>
        <w:t>the Record Stockholder must have given timely notice thereof in writing to the Secretary of the Corporation and provide any updates or supplements to such notice at the times and in the forms required by this Section 1.12;</w:t>
      </w:r>
    </w:p>
    <w:p>
      <w:pPr>
        <w:ind w:left="660" w:firstLine="644"/>
        <w:spacing w:after="0" w:line="263" w:lineRule="auto"/>
        <w:tabs>
          <w:tab w:leader="none" w:pos="1875" w:val="left"/>
        </w:tabs>
        <w:numPr>
          <w:ilvl w:val="1"/>
          <w:numId w:val="34"/>
        </w:numPr>
        <w:rPr>
          <w:rFonts w:ascii="Arial" w:cs="Arial" w:eastAsia="Arial" w:hAnsi="Arial"/>
          <w:sz w:val="22"/>
          <w:szCs w:val="22"/>
          <w:color w:val="auto"/>
        </w:rPr>
      </w:pPr>
      <w:r>
        <w:rPr>
          <w:rFonts w:ascii="Arial" w:cs="Arial" w:eastAsia="Arial" w:hAnsi="Arial"/>
          <w:sz w:val="22"/>
          <w:szCs w:val="22"/>
          <w:color w:val="auto"/>
        </w:rPr>
        <w:t>such other business (other than the nomination of persons for election to the Board) must otherwise be a proper matter for stockholder action;</w:t>
      </w:r>
    </w:p>
    <w:p>
      <w:pPr>
        <w:spacing w:after="0" w:line="66" w:lineRule="exact"/>
        <w:rPr>
          <w:rFonts w:ascii="Arial" w:cs="Arial" w:eastAsia="Arial" w:hAnsi="Arial"/>
          <w:sz w:val="22"/>
          <w:szCs w:val="22"/>
          <w:color w:val="auto"/>
        </w:rPr>
      </w:pPr>
    </w:p>
    <w:p>
      <w:pPr>
        <w:jc w:val="both"/>
        <w:ind w:left="660" w:firstLine="644"/>
        <w:spacing w:after="0" w:line="249" w:lineRule="auto"/>
        <w:tabs>
          <w:tab w:leader="none" w:pos="1888" w:val="left"/>
        </w:tabs>
        <w:numPr>
          <w:ilvl w:val="1"/>
          <w:numId w:val="34"/>
        </w:numPr>
        <w:rPr>
          <w:rFonts w:ascii="Arial" w:cs="Arial" w:eastAsia="Arial" w:hAnsi="Arial"/>
          <w:sz w:val="22"/>
          <w:szCs w:val="22"/>
          <w:color w:val="auto"/>
        </w:rPr>
      </w:pPr>
      <w:r>
        <w:rPr>
          <w:rFonts w:ascii="Arial" w:cs="Arial" w:eastAsia="Arial" w:hAnsi="Arial"/>
          <w:sz w:val="22"/>
          <w:szCs w:val="22"/>
          <w:color w:val="auto"/>
        </w:rPr>
        <w:t>(A) if the Proposing Person (as defined below) has provided the Corporation with a Solicitation Notice (as defined below), in the case of a proposal other than the nomination of persons for election to the Board, such Proposing Person must have delivered a proxy statement and form of proxy to holders of at least the percentage of the Corporation’s voting shares required under applicable law to carry any such proposal and must have included in such materials the Solicitation Notice, or (B) if the Proposing Person has delivered a notice of nomination or nominations, such Proposing Person must certify to the Corporation in writing, that it has complied with and will comply with the requirements of Rule 14a-19 promulgated under the Exchange Act, if applicable, and the Proposing Person shall deliver, no later than five (5) business days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29" w:lineRule="exact"/>
        <w:rPr>
          <w:rFonts w:ascii="Arial" w:cs="Arial" w:eastAsia="Arial" w:hAnsi="Arial"/>
          <w:sz w:val="22"/>
          <w:szCs w:val="22"/>
          <w:color w:val="auto"/>
        </w:rPr>
      </w:pPr>
    </w:p>
    <w:p>
      <w:pPr>
        <w:ind w:left="5580" w:hanging="121"/>
        <w:spacing w:after="0"/>
        <w:tabs>
          <w:tab w:leader="none" w:pos="5580" w:val="left"/>
        </w:tabs>
        <w:numPr>
          <w:ilvl w:val="2"/>
          <w:numId w:val="34"/>
        </w:numPr>
        <w:rPr>
          <w:rFonts w:ascii="Arial" w:cs="Arial" w:eastAsia="Arial" w:hAnsi="Arial"/>
          <w:sz w:val="20"/>
          <w:szCs w:val="20"/>
          <w:color w:val="auto"/>
        </w:rPr>
      </w:pPr>
      <w:r>
        <w:rPr>
          <w:rFonts w:ascii="Arial" w:cs="Arial" w:eastAsia="Arial" w:hAnsi="Arial"/>
          <w:sz w:val="20"/>
          <w:szCs w:val="20"/>
          <w:color w:val="auto"/>
        </w:rPr>
        <w:t>6 -</w:t>
      </w:r>
    </w:p>
    <w:p>
      <w:pPr>
        <w:sectPr>
          <w:pgSz w:w="11900" w:h="16838" w:orient="portrait"/>
          <w:cols w:equalWidth="0" w:num="1">
            <w:col w:w="11240"/>
          </w:cols>
          <w:pgMar w:left="320" w:top="1401" w:right="339" w:bottom="1440" w:gutter="0" w:footer="0" w:header="0"/>
        </w:sectPr>
      </w:pPr>
    </w:p>
    <w:bookmarkStart w:id="110" w:name="page111"/>
    <w:bookmarkEnd w:id="110"/>
    <w:p>
      <w:pPr>
        <w:ind w:left="660"/>
        <w:spacing w:after="0" w:line="276" w:lineRule="auto"/>
        <w:rPr>
          <w:sz w:val="20"/>
          <w:szCs w:val="20"/>
          <w:color w:val="auto"/>
        </w:rPr>
      </w:pPr>
      <w:r>
        <w:rPr>
          <w:rFonts w:ascii="Arial" w:cs="Arial" w:eastAsia="Arial" w:hAnsi="Arial"/>
          <w:sz w:val="22"/>
          <w:szCs w:val="22"/>
          <w:color w:val="auto"/>
        </w:rPr>
        <w:t>prior to the annual meeting or any adjournment, rescheduling, postponement or other delay thereof, reasonable evidence that it has complied with such requirements; and</w:t>
      </w:r>
    </w:p>
    <w:p>
      <w:pPr>
        <w:spacing w:after="0" w:line="53" w:lineRule="exact"/>
        <w:rPr>
          <w:sz w:val="20"/>
          <w:szCs w:val="20"/>
          <w:color w:val="auto"/>
        </w:rPr>
      </w:pPr>
    </w:p>
    <w:p>
      <w:pPr>
        <w:jc w:val="both"/>
        <w:ind w:left="660" w:firstLine="644"/>
        <w:spacing w:after="0" w:line="250" w:lineRule="auto"/>
        <w:tabs>
          <w:tab w:leader="none" w:pos="1897"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the case of a proposal other than the nomination of persons for election to the Board, if no Solicitation Notice relating thereto has been timely provided pursuant to this Section 1.12, the Proposing Person proposing such business must not have solicited a number of proxies sufficient to have required the delivery of such a Solicitation Notice under this Section 1.12.</w:t>
      </w:r>
    </w:p>
    <w:p>
      <w:pPr>
        <w:spacing w:after="0" w:line="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To be timely, (i) a Record Stockholder’s notice must be delivered to the Secretary at the principal executive offices of the Corporation not later than 5:00 p.m. Eastern Time on the ninetieth (90th) day nor earlier than 5:00 p.m. Eastern Time on the one hundred and twentieth (120th) day prior to the first anniversary of the preceding year’s annual meeting;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in the event that the date of the annual meeting is more than thirty (30) days before or more than seventy (70) days after such anniversary date, or if no annual meeting was held in the preceding year, notice by the Record Stockholder to be timely must be so delivered (A) no earlier than 5:00 p.m. Eastern Time on the one hundred and twentieth (120th) day prior to such annual meeting and (B) no later than 5:00 p.m. Eastern Time on the later of the ninetieth (90th) day prior to such annual meeting or 5:00 p.m. Eastern Time on the tenth (10th) day following the day on which Public Announcement (as defined below) of the date of such meeting is first made by the Corporation, (ii) in the case of a proposal for the nomination of persons for election to the Board, the Record Stockholder shall have complied in all respects with the requirements of Section 14 of the Exchange Act, including, without limitation, if applicable, the requirements of Rule 14a-19 (as such rule and regulations may be amended from time to time by the Securities and Exchange Commission, including any Securities and Exchange Commission Staff interpretations relating thereto) and (iii) in the case of a proposal for the nomination of persons for election to the Board, the Board or an executive officer designated thereby shall have determined that the Record Stockholder has satisfied the requirements of this Section 1.12. In no event shall an adjournment, postponement or rescheduling (or the Public Announcement thereof) of an annual meeting for which notice has been given or a Public Announcement of the meeting date has been made commence a new time period (or extend any time period) for providing the Record Stockholder’s notice. Notwithstanding anything in this Section 1.12.1 to the contrary, in the event that the number of directors to be elected to the Board at an annual meeting is increased and there is no Public Announcement by the Corporation naming all of the nominees for director or specifying the size of the increased Board made by the Corporation at least ten (10) days prior to the last day a stockholder may deliver a notice in accordance with the first sentence of this paragraph, a stockholder’s notice required by this Section 1.12.1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spacing w:after="0" w:line="309" w:lineRule="exact"/>
        <w:rPr>
          <w:sz w:val="20"/>
          <w:szCs w:val="20"/>
          <w:color w:val="auto"/>
        </w:rPr>
      </w:pPr>
    </w:p>
    <w:p>
      <w:pPr>
        <w:ind w:firstLine="656"/>
        <w:spacing w:after="0" w:line="263" w:lineRule="auto"/>
        <w:tabs>
          <w:tab w:leader="none" w:pos="1173" w:val="left"/>
        </w:tabs>
        <w:numPr>
          <w:ilvl w:val="0"/>
          <w:numId w:val="36"/>
        </w:numPr>
        <w:rPr>
          <w:rFonts w:ascii="Arial" w:cs="Arial" w:eastAsia="Arial" w:hAnsi="Arial"/>
          <w:sz w:val="22"/>
          <w:szCs w:val="22"/>
          <w:color w:val="auto"/>
        </w:rPr>
      </w:pPr>
      <w:r>
        <w:rPr>
          <w:rFonts w:ascii="Arial" w:cs="Arial" w:eastAsia="Arial" w:hAnsi="Arial"/>
          <w:sz w:val="22"/>
          <w:szCs w:val="22"/>
          <w:color w:val="auto"/>
        </w:rPr>
        <w:t>As to each person whom the Record Stockholder proposes to nominate for election or reelection as a director, in addition to the matters set forth in paragraph (e) below, such Record Stockholder’s notice shall set forth:</w:t>
      </w:r>
    </w:p>
    <w:p>
      <w:pPr>
        <w:spacing w:after="0" w:line="66" w:lineRule="exact"/>
        <w:rPr>
          <w:rFonts w:ascii="Arial" w:cs="Arial" w:eastAsia="Arial" w:hAnsi="Arial"/>
          <w:sz w:val="22"/>
          <w:szCs w:val="22"/>
          <w:color w:val="auto"/>
        </w:rPr>
      </w:pPr>
    </w:p>
    <w:p>
      <w:pPr>
        <w:ind w:left="1840" w:hanging="536"/>
        <w:spacing w:after="0"/>
        <w:tabs>
          <w:tab w:leader="none" w:pos="184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name, age, business address and residence address of such person;</w:t>
      </w:r>
    </w:p>
    <w:p>
      <w:pPr>
        <w:spacing w:after="0" w:line="125" w:lineRule="exact"/>
        <w:rPr>
          <w:rFonts w:ascii="Arial" w:cs="Arial" w:eastAsia="Arial" w:hAnsi="Arial"/>
          <w:sz w:val="22"/>
          <w:szCs w:val="22"/>
          <w:color w:val="auto"/>
        </w:rPr>
      </w:pPr>
    </w:p>
    <w:p>
      <w:pPr>
        <w:ind w:left="1780" w:hanging="476"/>
        <w:spacing w:after="0"/>
        <w:tabs>
          <w:tab w:leader="none" w:pos="178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principal occupation or employment of such nominee;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3" w:lineRule="exact"/>
        <w:rPr>
          <w:rFonts w:ascii="Arial" w:cs="Arial" w:eastAsia="Arial" w:hAnsi="Arial"/>
          <w:sz w:val="22"/>
          <w:szCs w:val="22"/>
          <w:color w:val="auto"/>
        </w:rPr>
      </w:pPr>
    </w:p>
    <w:p>
      <w:pPr>
        <w:ind w:left="5580" w:hanging="121"/>
        <w:spacing w:after="0"/>
        <w:tabs>
          <w:tab w:leader="none" w:pos="5580" w:val="left"/>
        </w:tabs>
        <w:numPr>
          <w:ilvl w:val="2"/>
          <w:numId w:val="36"/>
        </w:numPr>
        <w:rPr>
          <w:rFonts w:ascii="Arial" w:cs="Arial" w:eastAsia="Arial" w:hAnsi="Arial"/>
          <w:sz w:val="20"/>
          <w:szCs w:val="20"/>
          <w:color w:val="auto"/>
        </w:rPr>
      </w:pPr>
      <w:r>
        <w:rPr>
          <w:rFonts w:ascii="Arial" w:cs="Arial" w:eastAsia="Arial" w:hAnsi="Arial"/>
          <w:sz w:val="20"/>
          <w:szCs w:val="20"/>
          <w:color w:val="auto"/>
        </w:rPr>
        <w:t>7 -</w:t>
      </w:r>
    </w:p>
    <w:p>
      <w:pPr>
        <w:sectPr>
          <w:pgSz w:w="11900" w:h="16838" w:orient="portrait"/>
          <w:cols w:equalWidth="0" w:num="1">
            <w:col w:w="11240"/>
          </w:cols>
          <w:pgMar w:left="320" w:top="1401" w:right="339" w:bottom="1440" w:gutter="0" w:footer="0" w:header="0"/>
        </w:sectPr>
      </w:pPr>
    </w:p>
    <w:bookmarkStart w:id="111" w:name="page112"/>
    <w:bookmarkEnd w:id="111"/>
    <w:p>
      <w:pPr>
        <w:ind w:left="660" w:firstLine="644"/>
        <w:spacing w:after="0" w:line="276" w:lineRule="auto"/>
        <w:tabs>
          <w:tab w:leader="none" w:pos="187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class, series and number of any shares of stock of the Corporation that are beneficially owned or owned of record by such person or any Associated Person (as defined in Section 1.12.4(c));</w:t>
      </w:r>
    </w:p>
    <w:p>
      <w:pPr>
        <w:spacing w:after="0" w:line="52" w:lineRule="exact"/>
        <w:rPr>
          <w:rFonts w:ascii="Arial" w:cs="Arial" w:eastAsia="Arial" w:hAnsi="Arial"/>
          <w:sz w:val="22"/>
          <w:szCs w:val="22"/>
          <w:color w:val="auto"/>
        </w:rPr>
      </w:pPr>
    </w:p>
    <w:p>
      <w:pPr>
        <w:ind w:left="1840" w:hanging="536"/>
        <w:spacing w:after="0"/>
        <w:tabs>
          <w:tab w:leader="none" w:pos="18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date or dates such shares were acquired and the investment intent of such acquisition;</w:t>
      </w:r>
    </w:p>
    <w:p>
      <w:pPr>
        <w:spacing w:after="0" w:line="111" w:lineRule="exact"/>
        <w:rPr>
          <w:rFonts w:ascii="Arial" w:cs="Arial" w:eastAsia="Arial" w:hAnsi="Arial"/>
          <w:sz w:val="22"/>
          <w:szCs w:val="22"/>
          <w:color w:val="auto"/>
        </w:rPr>
      </w:pPr>
    </w:p>
    <w:p>
      <w:pPr>
        <w:jc w:val="both"/>
        <w:ind w:left="660" w:firstLine="644"/>
        <w:spacing w:after="0" w:line="254" w:lineRule="auto"/>
        <w:tabs>
          <w:tab w:leader="none" w:pos="1789" w:val="left"/>
        </w:tabs>
        <w:numPr>
          <w:ilvl w:val="0"/>
          <w:numId w:val="37"/>
        </w:numPr>
        <w:rPr>
          <w:rFonts w:ascii="Arial" w:cs="Arial" w:eastAsia="Arial" w:hAnsi="Arial"/>
          <w:sz w:val="22"/>
          <w:szCs w:val="22"/>
          <w:color w:val="auto"/>
        </w:rPr>
      </w:pPr>
      <w:r>
        <w:rPr>
          <w:rFonts w:ascii="Arial" w:cs="Arial" w:eastAsia="Arial" w:hAnsi="Arial"/>
          <w:sz w:val="22"/>
          <w:szCs w:val="22"/>
          <w:color w:val="auto"/>
        </w:rPr>
        <w:t>all other information relating to such person that would be required to be disclosed in solicitations of proxies for election of directors in an election contest (even if an election contest is not involved), or would be otherwise required, in each case pursuant to and in accordance with Section 14(a) (or any successor provision) under the Exchange Act and the rules and regulations thereunder;</w:t>
      </w:r>
    </w:p>
    <w:p>
      <w:pPr>
        <w:spacing w:after="0" w:line="76" w:lineRule="exact"/>
        <w:rPr>
          <w:rFonts w:ascii="Arial" w:cs="Arial" w:eastAsia="Arial" w:hAnsi="Arial"/>
          <w:sz w:val="22"/>
          <w:szCs w:val="22"/>
          <w:color w:val="auto"/>
        </w:rPr>
      </w:pPr>
    </w:p>
    <w:p>
      <w:pPr>
        <w:jc w:val="both"/>
        <w:ind w:left="660" w:firstLine="644"/>
        <w:spacing w:after="0" w:line="278" w:lineRule="auto"/>
        <w:tabs>
          <w:tab w:leader="none" w:pos="2125" w:val="left"/>
        </w:tabs>
        <w:numPr>
          <w:ilvl w:val="0"/>
          <w:numId w:val="37"/>
        </w:numPr>
        <w:rPr>
          <w:rFonts w:ascii="Arial" w:cs="Arial" w:eastAsia="Arial" w:hAnsi="Arial"/>
          <w:sz w:val="21"/>
          <w:szCs w:val="21"/>
          <w:color w:val="auto"/>
        </w:rPr>
      </w:pPr>
      <w:r>
        <w:rPr>
          <w:rFonts w:ascii="Arial" w:cs="Arial" w:eastAsia="Arial" w:hAnsi="Arial"/>
          <w:sz w:val="21"/>
          <w:szCs w:val="21"/>
          <w:color w:val="auto"/>
        </w:rPr>
        <w:t>such person’s written consent to being named as a nominee in any proxy materials relating to the Corporation’s next meeting, to the public disclosure of information regarding or related to such person provided to the Corporation by such person or otherwise pursuant to this Section 1.12 and to serving as a director if elected;</w:t>
      </w:r>
    </w:p>
    <w:p>
      <w:pPr>
        <w:spacing w:after="0" w:line="51" w:lineRule="exact"/>
        <w:rPr>
          <w:rFonts w:ascii="Arial" w:cs="Arial" w:eastAsia="Arial" w:hAnsi="Arial"/>
          <w:sz w:val="21"/>
          <w:szCs w:val="21"/>
          <w:color w:val="auto"/>
        </w:rPr>
      </w:pPr>
    </w:p>
    <w:p>
      <w:pPr>
        <w:ind w:left="660" w:right="20" w:firstLine="644"/>
        <w:spacing w:after="0" w:line="263" w:lineRule="auto"/>
        <w:tabs>
          <w:tab w:leader="none" w:pos="2118" w:val="left"/>
        </w:tabs>
        <w:numPr>
          <w:ilvl w:val="0"/>
          <w:numId w:val="37"/>
        </w:numPr>
        <w:rPr>
          <w:rFonts w:ascii="Arial" w:cs="Arial" w:eastAsia="Arial" w:hAnsi="Arial"/>
          <w:sz w:val="22"/>
          <w:szCs w:val="22"/>
          <w:color w:val="auto"/>
        </w:rPr>
      </w:pPr>
      <w:r>
        <w:rPr>
          <w:rFonts w:ascii="Arial" w:cs="Arial" w:eastAsia="Arial" w:hAnsi="Arial"/>
          <w:sz w:val="22"/>
          <w:szCs w:val="22"/>
          <w:color w:val="auto"/>
        </w:rPr>
        <w:t>whether such person meets the independence requirements of the stock exchange upon which the Corporation’s Class A Common Stock is primarily traded;</w:t>
      </w:r>
    </w:p>
    <w:p>
      <w:pPr>
        <w:spacing w:after="0" w:line="66" w:lineRule="exact"/>
        <w:rPr>
          <w:rFonts w:ascii="Arial" w:cs="Arial" w:eastAsia="Arial" w:hAnsi="Arial"/>
          <w:sz w:val="22"/>
          <w:szCs w:val="22"/>
          <w:color w:val="auto"/>
        </w:rPr>
      </w:pPr>
    </w:p>
    <w:p>
      <w:pPr>
        <w:jc w:val="both"/>
        <w:ind w:left="660" w:firstLine="644"/>
        <w:spacing w:after="0" w:line="251" w:lineRule="auto"/>
        <w:tabs>
          <w:tab w:leader="none" w:pos="2347"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description of all direct and indirect compensation and other material monetary agreements, arrangements and understandings during the past three (3) years, and any other material relationships, between or among such Proposing Person or any of its respective affiliates and associates, on the one hand, and each proposed nominee, and his or her respective affiliates and associates, on the other hand, including all information that would be required to be disclosed pursuant to Rule 404 promulgated under Regulation S-K if the Proposing Person or any of its respective affiliates and associates were the “registrant” for purposes of such rule and the nominee were a director or executive officer of such registrant;</w:t>
      </w:r>
    </w:p>
    <w:p>
      <w:pPr>
        <w:spacing w:after="0" w:line="78" w:lineRule="exact"/>
        <w:rPr>
          <w:rFonts w:ascii="Arial" w:cs="Arial" w:eastAsia="Arial" w:hAnsi="Arial"/>
          <w:sz w:val="22"/>
          <w:szCs w:val="22"/>
          <w:color w:val="auto"/>
        </w:rPr>
      </w:pPr>
    </w:p>
    <w:p>
      <w:pPr>
        <w:ind w:left="660" w:firstLine="644"/>
        <w:spacing w:after="0" w:line="263" w:lineRule="auto"/>
        <w:tabs>
          <w:tab w:leader="none" w:pos="1883"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description of any position of such person as an officer or director of any Competitor (as defined below) within the three years preceding the submission of the notice;</w:t>
      </w:r>
    </w:p>
    <w:p>
      <w:pPr>
        <w:spacing w:after="0" w:line="66" w:lineRule="exact"/>
        <w:rPr>
          <w:rFonts w:ascii="Arial" w:cs="Arial" w:eastAsia="Arial" w:hAnsi="Arial"/>
          <w:sz w:val="22"/>
          <w:szCs w:val="22"/>
          <w:color w:val="auto"/>
        </w:rPr>
      </w:pPr>
    </w:p>
    <w:p>
      <w:pPr>
        <w:ind w:left="660" w:firstLine="644"/>
        <w:spacing w:after="0" w:line="263" w:lineRule="auto"/>
        <w:tabs>
          <w:tab w:leader="none" w:pos="1615" w:val="left"/>
        </w:tabs>
        <w:numPr>
          <w:ilvl w:val="0"/>
          <w:numId w:val="37"/>
        </w:numPr>
        <w:rPr>
          <w:rFonts w:ascii="Arial" w:cs="Arial" w:eastAsia="Arial" w:hAnsi="Arial"/>
          <w:sz w:val="22"/>
          <w:szCs w:val="22"/>
          <w:color w:val="auto"/>
        </w:rPr>
      </w:pPr>
      <w:r>
        <w:rPr>
          <w:rFonts w:ascii="Arial" w:cs="Arial" w:eastAsia="Arial" w:hAnsi="Arial"/>
          <w:sz w:val="22"/>
          <w:szCs w:val="22"/>
          <w:color w:val="auto"/>
        </w:rPr>
        <w:t>a description of any business or personal interests that could place such person in a potential conflict of interest with the Corporation or any of its subsidiaries; and</w:t>
      </w:r>
    </w:p>
    <w:p>
      <w:pPr>
        <w:spacing w:after="0" w:line="80" w:lineRule="exact"/>
        <w:rPr>
          <w:rFonts w:ascii="Arial" w:cs="Arial" w:eastAsia="Arial" w:hAnsi="Arial"/>
          <w:sz w:val="22"/>
          <w:szCs w:val="22"/>
          <w:color w:val="auto"/>
        </w:rPr>
      </w:pPr>
    </w:p>
    <w:p>
      <w:pPr>
        <w:ind w:left="1840" w:hanging="536"/>
        <w:spacing w:after="0"/>
        <w:tabs>
          <w:tab w:leader="none" w:pos="18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all completed and signed questionnaires, representations and agreements required by Section 1.12.2 of these</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Bylaws.</w:t>
      </w:r>
    </w:p>
    <w:p>
      <w:pPr>
        <w:spacing w:after="0" w:line="94"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9"/>
          <w:szCs w:val="19"/>
          <w:color w:val="auto"/>
        </w:rPr>
        <w:t>The Corporation may require any proposed nominee to furnish such other information as it may reasonably require to determine the eligibility of such proposed nominee to serve as a director of the Corporation and to determine the independence of such director under the Exchange Act and rules and regulations thereunder and applicable stock exchange rules.</w:t>
      </w:r>
    </w:p>
    <w:p>
      <w:pPr>
        <w:spacing w:after="0" w:line="25" w:lineRule="exact"/>
        <w:rPr>
          <w:sz w:val="20"/>
          <w:szCs w:val="20"/>
          <w:color w:val="auto"/>
        </w:rPr>
      </w:pPr>
    </w:p>
    <w:p>
      <w:pPr>
        <w:ind w:firstLine="656"/>
        <w:spacing w:after="0" w:line="358" w:lineRule="auto"/>
        <w:tabs>
          <w:tab w:leader="none" w:pos="1113" w:val="left"/>
        </w:tabs>
        <w:numPr>
          <w:ilvl w:val="0"/>
          <w:numId w:val="38"/>
        </w:numPr>
        <w:rPr>
          <w:rFonts w:ascii="Arial" w:cs="Arial" w:eastAsia="Arial" w:hAnsi="Arial"/>
          <w:sz w:val="19"/>
          <w:szCs w:val="19"/>
          <w:color w:val="auto"/>
        </w:rPr>
      </w:pPr>
      <w:r>
        <w:rPr>
          <w:rFonts w:ascii="Arial" w:cs="Arial" w:eastAsia="Arial" w:hAnsi="Arial"/>
          <w:sz w:val="19"/>
          <w:szCs w:val="19"/>
          <w:color w:val="auto"/>
        </w:rPr>
        <w:t>As to any business other than the nomination of a director or directors that the Record Stockholder proposes to bring before the meeting, in addition to the matters set forth in paragraph (e) below, such Record Stockholder’s notice shall set forth:</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4" w:lineRule="exact"/>
        <w:rPr>
          <w:rFonts w:ascii="Arial" w:cs="Arial" w:eastAsia="Arial" w:hAnsi="Arial"/>
          <w:sz w:val="19"/>
          <w:szCs w:val="19"/>
          <w:color w:val="auto"/>
        </w:rPr>
      </w:pPr>
    </w:p>
    <w:p>
      <w:pPr>
        <w:ind w:left="5580" w:hanging="121"/>
        <w:spacing w:after="0"/>
        <w:tabs>
          <w:tab w:leader="none" w:pos="5580" w:val="left"/>
        </w:tabs>
        <w:numPr>
          <w:ilvl w:val="1"/>
          <w:numId w:val="38"/>
        </w:numPr>
        <w:rPr>
          <w:rFonts w:ascii="Arial" w:cs="Arial" w:eastAsia="Arial" w:hAnsi="Arial"/>
          <w:sz w:val="20"/>
          <w:szCs w:val="20"/>
          <w:color w:val="auto"/>
        </w:rPr>
      </w:pPr>
      <w:r>
        <w:rPr>
          <w:rFonts w:ascii="Arial" w:cs="Arial" w:eastAsia="Arial" w:hAnsi="Arial"/>
          <w:sz w:val="20"/>
          <w:szCs w:val="20"/>
          <w:color w:val="auto"/>
        </w:rPr>
        <w:t>8 -</w:t>
      </w:r>
    </w:p>
    <w:p>
      <w:pPr>
        <w:sectPr>
          <w:pgSz w:w="11900" w:h="16838" w:orient="portrait"/>
          <w:cols w:equalWidth="0" w:num="1">
            <w:col w:w="11240"/>
          </w:cols>
          <w:pgMar w:left="320" w:top="1401" w:right="339" w:bottom="1440" w:gutter="0" w:footer="0" w:header="0"/>
        </w:sectPr>
      </w:pPr>
    </w:p>
    <w:bookmarkStart w:id="112" w:name="page113"/>
    <w:bookmarkEnd w:id="112"/>
    <w:p>
      <w:pPr>
        <w:jc w:val="both"/>
        <w:ind w:left="4" w:firstLine="644"/>
        <w:spacing w:after="0" w:line="251" w:lineRule="auto"/>
        <w:tabs>
          <w:tab w:leader="none" w:pos="1202" w:val="left"/>
        </w:tabs>
        <w:numPr>
          <w:ilvl w:val="1"/>
          <w:numId w:val="39"/>
        </w:numPr>
        <w:rPr>
          <w:rFonts w:ascii="Arial" w:cs="Arial" w:eastAsia="Arial" w:hAnsi="Arial"/>
          <w:sz w:val="22"/>
          <w:szCs w:val="22"/>
          <w:color w:val="auto"/>
        </w:rPr>
      </w:pPr>
      <w:r>
        <w:rPr>
          <w:rFonts w:ascii="Arial" w:cs="Arial" w:eastAsia="Arial" w:hAnsi="Arial"/>
          <w:sz w:val="22"/>
          <w:szCs w:val="22"/>
          <w:color w:val="auto"/>
        </w:rPr>
        <w:t>a brief description of the business desired to be brought before the meeting, the text of the proposal or business (including the text of any resolutions proposed for consideration and in the event that such business includes a proposal to amend the Bylaws, the text of the proposed amendment), the reasons for conducting such business at the meeting and any material interest in such business of such Proposing Person, including any anticipated benefit to any Proposing Person therefrom; and</w:t>
      </w:r>
    </w:p>
    <w:p>
      <w:pPr>
        <w:spacing w:after="0" w:line="81" w:lineRule="exact"/>
        <w:rPr>
          <w:rFonts w:ascii="Arial" w:cs="Arial" w:eastAsia="Arial" w:hAnsi="Arial"/>
          <w:sz w:val="22"/>
          <w:szCs w:val="22"/>
          <w:color w:val="auto"/>
        </w:rPr>
      </w:pPr>
    </w:p>
    <w:p>
      <w:pPr>
        <w:jc w:val="both"/>
        <w:ind w:left="4" w:firstLine="644"/>
        <w:spacing w:after="0" w:line="319" w:lineRule="auto"/>
        <w:tabs>
          <w:tab w:leader="none" w:pos="1227" w:val="left"/>
        </w:tabs>
        <w:numPr>
          <w:ilvl w:val="1"/>
          <w:numId w:val="39"/>
        </w:numPr>
        <w:rPr>
          <w:rFonts w:ascii="Arial" w:cs="Arial" w:eastAsia="Arial" w:hAnsi="Arial"/>
          <w:sz w:val="19"/>
          <w:szCs w:val="19"/>
          <w:color w:val="auto"/>
        </w:rPr>
      </w:pPr>
      <w:r>
        <w:rPr>
          <w:rFonts w:ascii="Arial" w:cs="Arial" w:eastAsia="Arial" w:hAnsi="Arial"/>
          <w:sz w:val="19"/>
          <w:szCs w:val="19"/>
          <w:color w:val="auto"/>
        </w:rPr>
        <w:t>a description of all agreements, arrangements and understandings between or among any such Proposing Person and any of its respective affiliates or associates, on the one hand, and any other person or persons, on the other hand, (including their names) in connection with the proposal of such business by such Proposing Person;</w:t>
      </w:r>
    </w:p>
    <w:p>
      <w:pPr>
        <w:spacing w:after="0" w:line="19" w:lineRule="exact"/>
        <w:rPr>
          <w:rFonts w:ascii="Arial" w:cs="Arial" w:eastAsia="Arial" w:hAnsi="Arial"/>
          <w:sz w:val="19"/>
          <w:szCs w:val="19"/>
          <w:color w:val="auto"/>
        </w:rPr>
      </w:pPr>
    </w:p>
    <w:p>
      <w:pPr>
        <w:ind w:left="444" w:hanging="444"/>
        <w:spacing w:after="0"/>
        <w:tabs>
          <w:tab w:leader="none" w:pos="4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As to each Proposing Person giving the notice, such Record Stockholder’s notice shall set forth:</w:t>
      </w:r>
    </w:p>
    <w:p>
      <w:pPr>
        <w:spacing w:after="0" w:line="111" w:lineRule="exact"/>
        <w:rPr>
          <w:rFonts w:ascii="Arial" w:cs="Arial" w:eastAsia="Arial" w:hAnsi="Arial"/>
          <w:sz w:val="22"/>
          <w:szCs w:val="22"/>
          <w:color w:val="auto"/>
        </w:rPr>
      </w:pPr>
    </w:p>
    <w:p>
      <w:pPr>
        <w:ind w:left="4" w:right="20" w:firstLine="644"/>
        <w:spacing w:after="0" w:line="263" w:lineRule="auto"/>
        <w:tabs>
          <w:tab w:leader="none" w:pos="1184"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current name and address of such Proposing Person, including, if applicable, their name and address as they appear on the Corporation’s stock ledger, if different;</w:t>
      </w:r>
    </w:p>
    <w:p>
      <w:pPr>
        <w:spacing w:after="0" w:line="66" w:lineRule="exact"/>
        <w:rPr>
          <w:rFonts w:ascii="Arial" w:cs="Arial" w:eastAsia="Arial" w:hAnsi="Arial"/>
          <w:sz w:val="22"/>
          <w:szCs w:val="22"/>
          <w:color w:val="auto"/>
        </w:rPr>
      </w:pPr>
    </w:p>
    <w:p>
      <w:pPr>
        <w:jc w:val="both"/>
        <w:ind w:left="4" w:firstLine="644"/>
        <w:spacing w:after="0" w:line="297" w:lineRule="auto"/>
        <w:tabs>
          <w:tab w:leader="none" w:pos="1211" w:val="left"/>
        </w:tabs>
        <w:numPr>
          <w:ilvl w:val="1"/>
          <w:numId w:val="40"/>
        </w:numPr>
        <w:rPr>
          <w:rFonts w:ascii="Arial" w:cs="Arial" w:eastAsia="Arial" w:hAnsi="Arial"/>
          <w:sz w:val="19"/>
          <w:szCs w:val="19"/>
          <w:color w:val="auto"/>
        </w:rPr>
      </w:pPr>
      <w:r>
        <w:rPr>
          <w:rFonts w:ascii="Arial" w:cs="Arial" w:eastAsia="Arial" w:hAnsi="Arial"/>
          <w:sz w:val="19"/>
          <w:szCs w:val="19"/>
          <w:color w:val="auto"/>
        </w:rPr>
        <w:t>(1) the class or series and number of shares of stock of the Corporation that are directly or indirectly owned of record or beneficially owned by such Proposing Person, including any shares of any class or series of the Corporation as to which such Proposing Person has a right to acquire beneficial ownership at any time in the future, and (2) a certification regarding whether such Proposing Person, if any, has complied with all applicable federal, state and other legal requirements in connection with such Proposing Person’s acquisition of shares of capital stock or other securities of the Corporation and/or such Proposing Person’s acts or omissions as a stockholder of the Corporation;</w:t>
      </w:r>
    </w:p>
    <w:p>
      <w:pPr>
        <w:spacing w:after="0" w:line="51" w:lineRule="exact"/>
        <w:rPr>
          <w:rFonts w:ascii="Arial" w:cs="Arial" w:eastAsia="Arial" w:hAnsi="Arial"/>
          <w:sz w:val="19"/>
          <w:szCs w:val="19"/>
          <w:color w:val="auto"/>
        </w:rPr>
      </w:pPr>
    </w:p>
    <w:p>
      <w:pPr>
        <w:jc w:val="both"/>
        <w:ind w:left="4" w:firstLine="644"/>
        <w:spacing w:after="0" w:line="288" w:lineRule="auto"/>
        <w:tabs>
          <w:tab w:leader="none" w:pos="1226" w:val="left"/>
        </w:tabs>
        <w:numPr>
          <w:ilvl w:val="1"/>
          <w:numId w:val="40"/>
        </w:numPr>
        <w:rPr>
          <w:rFonts w:ascii="Arial" w:cs="Arial" w:eastAsia="Arial" w:hAnsi="Arial"/>
          <w:sz w:val="19"/>
          <w:szCs w:val="19"/>
          <w:color w:val="auto"/>
        </w:rPr>
      </w:pPr>
      <w:r>
        <w:rPr>
          <w:rFonts w:ascii="Arial" w:cs="Arial" w:eastAsia="Arial" w:hAnsi="Arial"/>
          <w:sz w:val="19"/>
          <w:szCs w:val="19"/>
          <w:color w:val="auto"/>
        </w:rPr>
        <w:t>whether and the extent to which (x) any derivative interest in the Corporation’s equity securities (including without limitation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shares of the Corporation or otherwise, and any cash-settled equity swap, total return swap, synthetic equity position or similar derivative arrangement (any of the foregoing, a “</w:t>
      </w:r>
      <w:r>
        <w:rPr>
          <w:rFonts w:ascii="Arial" w:cs="Arial" w:eastAsia="Arial" w:hAnsi="Arial"/>
          <w:sz w:val="19"/>
          <w:szCs w:val="19"/>
          <w:b w:val="1"/>
          <w:bCs w:val="1"/>
          <w:i w:val="1"/>
          <w:iCs w:val="1"/>
          <w:color w:val="auto"/>
        </w:rPr>
        <w:t>Derivative Instrument</w:t>
      </w:r>
      <w:r>
        <w:rPr>
          <w:rFonts w:ascii="Arial" w:cs="Arial" w:eastAsia="Arial" w:hAnsi="Arial"/>
          <w:sz w:val="19"/>
          <w:szCs w:val="19"/>
          <w:color w:val="auto"/>
        </w:rPr>
        <w:t>”), as well as any rights to dividends on the shares of any class or series of shares of the Corporation that are separated or separable from the underlying shares of the Corporation) or (y) any short interest in any security of the Corporation (for purposes of this Bylaw a person shall be deemed to have a short interest in a security if such person directly or indirectly, through any contract, arrangement, understanding, relationship or otherwise, has the opportunity to profit or share in any profit derived from any increase or decrease in the value of the subject security, including through performance-related fees), including without limitation whether and the extent to which any ongoing hedging or other transaction or series of transactions has been entered into by or on behalf of, or any other agreement, arrangement or understanding (including without limitation any short position or any borrowing or lending of shares) has been made, the effect or intent 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1" w:lineRule="exact"/>
        <w:rPr>
          <w:rFonts w:ascii="Arial" w:cs="Arial" w:eastAsia="Arial" w:hAnsi="Arial"/>
          <w:sz w:val="19"/>
          <w:szCs w:val="19"/>
          <w:color w:val="auto"/>
        </w:rPr>
      </w:pPr>
    </w:p>
    <w:p>
      <w:pPr>
        <w:ind w:left="4924" w:hanging="121"/>
        <w:spacing w:after="0"/>
        <w:tabs>
          <w:tab w:leader="none" w:pos="4924" w:val="left"/>
        </w:tabs>
        <w:numPr>
          <w:ilvl w:val="2"/>
          <w:numId w:val="40"/>
        </w:numPr>
        <w:rPr>
          <w:rFonts w:ascii="Arial" w:cs="Arial" w:eastAsia="Arial" w:hAnsi="Arial"/>
          <w:sz w:val="20"/>
          <w:szCs w:val="20"/>
          <w:color w:val="auto"/>
        </w:rPr>
      </w:pPr>
      <w:r>
        <w:rPr>
          <w:rFonts w:ascii="Arial" w:cs="Arial" w:eastAsia="Arial" w:hAnsi="Arial"/>
          <w:sz w:val="20"/>
          <w:szCs w:val="20"/>
          <w:color w:val="auto"/>
        </w:rPr>
        <w:t>9 -</w:t>
      </w:r>
    </w:p>
    <w:p>
      <w:pPr>
        <w:sectPr>
          <w:pgSz w:w="11900" w:h="16838" w:orient="portrait"/>
          <w:cols w:equalWidth="0" w:num="1">
            <w:col w:w="10584"/>
          </w:cols>
          <w:pgMar w:left="976" w:top="1401" w:right="339" w:bottom="1440" w:gutter="0" w:footer="0" w:header="0"/>
        </w:sectPr>
      </w:pPr>
    </w:p>
    <w:bookmarkStart w:id="113" w:name="page114"/>
    <w:bookmarkEnd w:id="113"/>
    <w:p>
      <w:pPr>
        <w:jc w:val="both"/>
        <w:spacing w:after="0" w:line="259" w:lineRule="auto"/>
        <w:rPr>
          <w:sz w:val="20"/>
          <w:szCs w:val="20"/>
          <w:color w:val="auto"/>
        </w:rPr>
      </w:pPr>
      <w:r>
        <w:rPr>
          <w:rFonts w:ascii="Arial" w:cs="Arial" w:eastAsia="Arial" w:hAnsi="Arial"/>
          <w:sz w:val="22"/>
          <w:szCs w:val="22"/>
          <w:color w:val="auto"/>
        </w:rPr>
        <w:t>which is to mitigate loss to or manage risk or benefit of share price changes for, or to increase or decrease the voting power of, such Proposing Person with respect to any share of stock of the Corporation (any of the foregoing, a “</w:t>
      </w:r>
      <w:r>
        <w:rPr>
          <w:rFonts w:ascii="Arial" w:cs="Arial" w:eastAsia="Arial" w:hAnsi="Arial"/>
          <w:sz w:val="22"/>
          <w:szCs w:val="22"/>
          <w:b w:val="1"/>
          <w:bCs w:val="1"/>
          <w:i w:val="1"/>
          <w:iCs w:val="1"/>
          <w:color w:val="auto"/>
        </w:rPr>
        <w:t>Short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Interest</w:t>
      </w:r>
      <w:r>
        <w:rPr>
          <w:rFonts w:ascii="Arial" w:cs="Arial" w:eastAsia="Arial" w:hAnsi="Arial"/>
          <w:sz w:val="22"/>
          <w:szCs w:val="22"/>
          <w:color w:val="auto"/>
        </w:rPr>
        <w:t>”) is held directly or indirectly by or for the benefit of such Proposing Person;</w:t>
      </w:r>
    </w:p>
    <w:p>
      <w:pPr>
        <w:spacing w:after="0" w:line="86" w:lineRule="exact"/>
        <w:rPr>
          <w:sz w:val="20"/>
          <w:szCs w:val="20"/>
          <w:color w:val="auto"/>
        </w:rPr>
      </w:pPr>
    </w:p>
    <w:p>
      <w:pPr>
        <w:jc w:val="both"/>
        <w:ind w:firstLine="644"/>
        <w:spacing w:after="0" w:line="250" w:lineRule="auto"/>
        <w:tabs>
          <w:tab w:leader="none" w:pos="1695"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proportionate interest in shares of the Corporation or Derivative Instruments held, directly or indirectly, by a general or limited partnership in which such Proposing Person or any of its respective affiliates or associates is a general partner or, directly or indirectly, beneficially owns an interest in a general partner of such general or limited partnership;</w:t>
      </w:r>
    </w:p>
    <w:p>
      <w:pPr>
        <w:spacing w:after="0" w:line="93" w:lineRule="exact"/>
        <w:rPr>
          <w:rFonts w:ascii="Arial" w:cs="Arial" w:eastAsia="Arial" w:hAnsi="Arial"/>
          <w:sz w:val="22"/>
          <w:szCs w:val="22"/>
          <w:color w:val="auto"/>
        </w:rPr>
      </w:pPr>
    </w:p>
    <w:p>
      <w:pPr>
        <w:jc w:val="both"/>
        <w:ind w:firstLine="644"/>
        <w:spacing w:after="0" w:line="253" w:lineRule="auto"/>
        <w:tabs>
          <w:tab w:leader="none" w:pos="1482"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direct or indirect material interest in any material contract or agreement with the Corporation, any affiliate of the Corporation or any Competitor (including, in any such case, any employment agreement, collective bargaining agreement or consulting agreement);</w:t>
      </w:r>
    </w:p>
    <w:p>
      <w:pPr>
        <w:spacing w:after="0" w:line="77" w:lineRule="exact"/>
        <w:rPr>
          <w:rFonts w:ascii="Arial" w:cs="Arial" w:eastAsia="Arial" w:hAnsi="Arial"/>
          <w:sz w:val="22"/>
          <w:szCs w:val="22"/>
          <w:color w:val="auto"/>
        </w:rPr>
      </w:pPr>
    </w:p>
    <w:p>
      <w:pPr>
        <w:ind w:firstLine="644"/>
        <w:spacing w:after="0" w:line="263" w:lineRule="auto"/>
        <w:tabs>
          <w:tab w:leader="none" w:pos="1406"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significant equity interests or any Derivative Instruments or Short Interests in any Competitor held by such Proposing Person and/or any of its respective affiliates or associates;</w:t>
      </w:r>
    </w:p>
    <w:p>
      <w:pPr>
        <w:spacing w:after="0" w:line="66" w:lineRule="exact"/>
        <w:rPr>
          <w:rFonts w:ascii="Arial" w:cs="Arial" w:eastAsia="Arial" w:hAnsi="Arial"/>
          <w:sz w:val="22"/>
          <w:szCs w:val="22"/>
          <w:color w:val="auto"/>
        </w:rPr>
      </w:pPr>
    </w:p>
    <w:p>
      <w:pPr>
        <w:ind w:firstLine="644"/>
        <w:spacing w:after="0" w:line="276" w:lineRule="auto"/>
        <w:tabs>
          <w:tab w:leader="none" w:pos="127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other material relationship between such Proposing Person, on the one hand, and the Corporation, any affiliate of the Corporation or any Competitor, on the other hand;</w:t>
      </w:r>
    </w:p>
    <w:p>
      <w:pPr>
        <w:spacing w:after="0" w:line="52" w:lineRule="exact"/>
        <w:rPr>
          <w:rFonts w:ascii="Arial" w:cs="Arial" w:eastAsia="Arial" w:hAnsi="Arial"/>
          <w:sz w:val="22"/>
          <w:szCs w:val="22"/>
          <w:color w:val="auto"/>
        </w:rPr>
      </w:pPr>
    </w:p>
    <w:p>
      <w:pPr>
        <w:jc w:val="both"/>
        <w:ind w:firstLine="644"/>
        <w:spacing w:after="0" w:line="250" w:lineRule="auto"/>
        <w:tabs>
          <w:tab w:leader="none" w:pos="1319" w:val="left"/>
        </w:tabs>
        <w:numPr>
          <w:ilvl w:val="0"/>
          <w:numId w:val="41"/>
        </w:numPr>
        <w:rPr>
          <w:rFonts w:ascii="Arial" w:cs="Arial" w:eastAsia="Arial" w:hAnsi="Arial"/>
          <w:sz w:val="22"/>
          <w:szCs w:val="22"/>
          <w:color w:val="auto"/>
        </w:rPr>
      </w:pPr>
      <w:r>
        <w:rPr>
          <w:rFonts w:ascii="Arial" w:cs="Arial" w:eastAsia="Arial" w:hAnsi="Arial"/>
          <w:sz w:val="22"/>
          <w:szCs w:val="22"/>
          <w:color w:val="auto"/>
        </w:rPr>
        <w:t>all information that would be required to be set forth in a Schedule 13D filed pursuant to Rule 13d-1(a) or an amendment pursuant to Rule 13d-2(a) if such a statement were required to be filed under the Exchange Act and the rules and regulations promulgated thereunder by such Proposing Person and/or any of its respective affiliates or associates;</w:t>
      </w:r>
    </w:p>
    <w:p>
      <w:pPr>
        <w:spacing w:after="0" w:line="93" w:lineRule="exact"/>
        <w:rPr>
          <w:rFonts w:ascii="Arial" w:cs="Arial" w:eastAsia="Arial" w:hAnsi="Arial"/>
          <w:sz w:val="22"/>
          <w:szCs w:val="22"/>
          <w:color w:val="auto"/>
        </w:rPr>
      </w:pPr>
    </w:p>
    <w:p>
      <w:pPr>
        <w:jc w:val="both"/>
        <w:ind w:firstLine="644"/>
        <w:spacing w:after="0" w:line="265" w:lineRule="auto"/>
        <w:tabs>
          <w:tab w:leader="none" w:pos="1468" w:val="left"/>
        </w:tabs>
        <w:numPr>
          <w:ilvl w:val="0"/>
          <w:numId w:val="41"/>
        </w:numPr>
        <w:rPr>
          <w:rFonts w:ascii="Arial" w:cs="Arial" w:eastAsia="Arial" w:hAnsi="Arial"/>
          <w:sz w:val="21"/>
          <w:szCs w:val="21"/>
          <w:color w:val="auto"/>
        </w:rPr>
      </w:pPr>
      <w:r>
        <w:rPr>
          <w:rFonts w:ascii="Arial" w:cs="Arial" w:eastAsia="Arial" w:hAnsi="Arial"/>
          <w:sz w:val="21"/>
          <w:szCs w:val="21"/>
          <w:color w:val="auto"/>
        </w:rPr>
        <w:t>any other information relating to such Proposing Person that would be required to be disclosed in proxy materials or other filings required to be made in connection with solicitations of proxies or consents by such Proposing Person in support of the business or nomination proposed to be brought before the meeting pursuant to Section 14(a) (or any successor provision) under the Exchange Act and the rules and regulations thereunder;</w:t>
      </w:r>
    </w:p>
    <w:p>
      <w:pPr>
        <w:spacing w:after="0" w:line="67" w:lineRule="exact"/>
        <w:rPr>
          <w:rFonts w:ascii="Arial" w:cs="Arial" w:eastAsia="Arial" w:hAnsi="Arial"/>
          <w:sz w:val="21"/>
          <w:szCs w:val="21"/>
          <w:color w:val="auto"/>
        </w:rPr>
      </w:pPr>
    </w:p>
    <w:p>
      <w:pPr>
        <w:ind w:firstLine="644"/>
        <w:spacing w:after="0" w:line="276" w:lineRule="auto"/>
        <w:tabs>
          <w:tab w:leader="none" w:pos="1723" w:val="left"/>
        </w:tabs>
        <w:numPr>
          <w:ilvl w:val="0"/>
          <w:numId w:val="41"/>
        </w:numPr>
        <w:rPr>
          <w:rFonts w:ascii="Arial" w:cs="Arial" w:eastAsia="Arial" w:hAnsi="Arial"/>
          <w:sz w:val="22"/>
          <w:szCs w:val="22"/>
          <w:color w:val="auto"/>
        </w:rPr>
      </w:pPr>
      <w:r>
        <w:rPr>
          <w:rFonts w:ascii="Arial" w:cs="Arial" w:eastAsia="Arial" w:hAnsi="Arial"/>
          <w:sz w:val="22"/>
          <w:szCs w:val="22"/>
          <w:color w:val="auto"/>
        </w:rPr>
        <w:t>such Proposing Person’s written consent to the public disclosure of information provided to the Corporation pursuant to this Section 1.12;</w:t>
      </w:r>
    </w:p>
    <w:p>
      <w:pPr>
        <w:spacing w:after="0" w:line="52" w:lineRule="exact"/>
        <w:rPr>
          <w:rFonts w:ascii="Arial" w:cs="Arial" w:eastAsia="Arial" w:hAnsi="Arial"/>
          <w:sz w:val="22"/>
          <w:szCs w:val="22"/>
          <w:color w:val="auto"/>
        </w:rPr>
      </w:pPr>
    </w:p>
    <w:p>
      <w:pPr>
        <w:jc w:val="both"/>
        <w:ind w:firstLine="644"/>
        <w:spacing w:after="0" w:line="250" w:lineRule="auto"/>
        <w:tabs>
          <w:tab w:leader="none" w:pos="1638"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complete written description of any agreement, arrangement or understanding (whether oral or in writing) (including any knowledge that another person or entity is Acting in Concert (as defined in Section 1.12.4(c)) with such Proposing Person) between or among such Proposing Person, any of its respective affiliates or associates and any other person Acting in Concert with any of the foregoing persons;</w:t>
      </w:r>
    </w:p>
    <w:p>
      <w:pPr>
        <w:spacing w:after="0" w:line="79" w:lineRule="exact"/>
        <w:rPr>
          <w:rFonts w:ascii="Arial" w:cs="Arial" w:eastAsia="Arial" w:hAnsi="Arial"/>
          <w:sz w:val="22"/>
          <w:szCs w:val="22"/>
          <w:color w:val="auto"/>
        </w:rPr>
      </w:pPr>
    </w:p>
    <w:p>
      <w:pPr>
        <w:jc w:val="both"/>
        <w:ind w:firstLine="644"/>
        <w:spacing w:after="0" w:line="319" w:lineRule="auto"/>
        <w:tabs>
          <w:tab w:leader="none" w:pos="1367" w:val="left"/>
        </w:tabs>
        <w:numPr>
          <w:ilvl w:val="0"/>
          <w:numId w:val="41"/>
        </w:numPr>
        <w:rPr>
          <w:rFonts w:ascii="Arial" w:cs="Arial" w:eastAsia="Arial" w:hAnsi="Arial"/>
          <w:sz w:val="19"/>
          <w:szCs w:val="19"/>
          <w:color w:val="auto"/>
        </w:rPr>
      </w:pPr>
      <w:r>
        <w:rPr>
          <w:rFonts w:ascii="Arial" w:cs="Arial" w:eastAsia="Arial" w:hAnsi="Arial"/>
          <w:sz w:val="19"/>
          <w:szCs w:val="19"/>
          <w:color w:val="auto"/>
        </w:rPr>
        <w:t>a representation that the Record Stockholder is a holder of record of stock of the Corporation entitled to vote at such meeting and intends to appear in person (including virtually in the case of a meeting conducted solely by means of remote communication) or by proxy at the meeting to propose such business or nomination;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4860" w:hanging="110"/>
        <w:spacing w:after="0"/>
        <w:tabs>
          <w:tab w:leader="none" w:pos="4860" w:val="left"/>
        </w:tabs>
        <w:numPr>
          <w:ilvl w:val="1"/>
          <w:numId w:val="41"/>
        </w:numPr>
        <w:rPr>
          <w:rFonts w:ascii="Arial" w:cs="Arial" w:eastAsia="Arial" w:hAnsi="Arial"/>
          <w:sz w:val="20"/>
          <w:szCs w:val="20"/>
          <w:color w:val="auto"/>
        </w:rPr>
      </w:pPr>
      <w:r>
        <w:rPr>
          <w:rFonts w:ascii="Arial" w:cs="Arial" w:eastAsia="Arial" w:hAnsi="Arial"/>
          <w:sz w:val="20"/>
          <w:szCs w:val="20"/>
          <w:color w:val="auto"/>
        </w:rPr>
        <w:t>10 -</w:t>
      </w:r>
    </w:p>
    <w:p>
      <w:pPr>
        <w:sectPr>
          <w:pgSz w:w="11900" w:h="16838" w:orient="portrait"/>
          <w:cols w:equalWidth="0" w:num="1">
            <w:col w:w="10580"/>
          </w:cols>
          <w:pgMar w:left="980" w:top="1401" w:right="339" w:bottom="1440" w:gutter="0" w:footer="0" w:header="0"/>
        </w:sectPr>
      </w:pPr>
    </w:p>
    <w:bookmarkStart w:id="114" w:name="page115"/>
    <w:bookmarkEnd w:id="114"/>
    <w:p>
      <w:pPr>
        <w:jc w:val="both"/>
        <w:ind w:left="660" w:firstLine="644"/>
        <w:spacing w:after="0" w:line="270" w:lineRule="auto"/>
        <w:tabs>
          <w:tab w:leader="none" w:pos="2066" w:val="left"/>
        </w:tabs>
        <w:numPr>
          <w:ilvl w:val="0"/>
          <w:numId w:val="42"/>
        </w:numPr>
        <w:rPr>
          <w:rFonts w:ascii="Arial" w:cs="Arial" w:eastAsia="Arial" w:hAnsi="Arial"/>
          <w:sz w:val="21"/>
          <w:szCs w:val="21"/>
          <w:color w:val="auto"/>
        </w:rPr>
      </w:pPr>
      <w:r>
        <w:rPr>
          <w:rFonts w:ascii="Arial" w:cs="Arial" w:eastAsia="Arial" w:hAnsi="Arial"/>
          <w:sz w:val="21"/>
          <w:szCs w:val="21"/>
          <w:color w:val="auto"/>
        </w:rPr>
        <w:t>in the case of a proposal other than the nomination of persons for election to the Board, a representation whether such Proposing Person intends (or is part of a group that intends) to deliver a proxy statement or form of proxy to holders of at least the percentage of the Corporation’s voting shares required under applicable law to carry the proposal (an affirmative statement of such intent being a “</w:t>
      </w:r>
      <w:r>
        <w:rPr>
          <w:rFonts w:ascii="Arial" w:cs="Arial" w:eastAsia="Arial" w:hAnsi="Arial"/>
          <w:sz w:val="21"/>
          <w:szCs w:val="21"/>
          <w:b w:val="1"/>
          <w:bCs w:val="1"/>
          <w:i w:val="1"/>
          <w:iCs w:val="1"/>
          <w:color w:val="auto"/>
        </w:rPr>
        <w:t>Solicitation Notice</w:t>
      </w:r>
      <w:r>
        <w:rPr>
          <w:rFonts w:ascii="Arial" w:cs="Arial" w:eastAsia="Arial" w:hAnsi="Arial"/>
          <w:sz w:val="21"/>
          <w:szCs w:val="21"/>
          <w:color w:val="auto"/>
        </w:rPr>
        <w:t>”);</w:t>
      </w:r>
    </w:p>
    <w:p>
      <w:pPr>
        <w:spacing w:after="0" w:line="60" w:lineRule="exact"/>
        <w:rPr>
          <w:rFonts w:ascii="Arial" w:cs="Arial" w:eastAsia="Arial" w:hAnsi="Arial"/>
          <w:sz w:val="21"/>
          <w:szCs w:val="21"/>
          <w:color w:val="auto"/>
        </w:rPr>
      </w:pPr>
    </w:p>
    <w:p>
      <w:pPr>
        <w:jc w:val="both"/>
        <w:ind w:left="660" w:firstLine="644"/>
        <w:spacing w:after="0" w:line="307" w:lineRule="auto"/>
        <w:tabs>
          <w:tab w:leader="none" w:pos="2043"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the case of a nomination or nominations, a representation that such Proposing Person intends to solicit the holders of shares representing at least 67% of the voting power of the shares entitled to vote on the election of directors in support of director nominees other than the Corporation’s nominees in accordance with Rule 14a-19, and the name of each participant (as defined in Item 4 of Exchange Act Schedule 14A) in such solicitation;</w:t>
      </w:r>
    </w:p>
    <w:p>
      <w:pPr>
        <w:spacing w:after="0" w:line="29" w:lineRule="exact"/>
        <w:rPr>
          <w:rFonts w:ascii="Arial" w:cs="Arial" w:eastAsia="Arial" w:hAnsi="Arial"/>
          <w:sz w:val="19"/>
          <w:szCs w:val="19"/>
          <w:color w:val="auto"/>
        </w:rPr>
      </w:pPr>
    </w:p>
    <w:p>
      <w:pPr>
        <w:jc w:val="both"/>
        <w:ind w:left="660" w:firstLine="644"/>
        <w:spacing w:after="0" w:line="312" w:lineRule="auto"/>
        <w:tabs>
          <w:tab w:leader="none" w:pos="1935"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complete and accurate description of any pending or, to such Proposing Person’s knowledge, threatened legal proceeding in which such Proposing Person is a party or participant involving the Corporation or, to such Proposing Person’s knowledge, any current or former officer, director, affiliate or associate of the Corporation; and</w:t>
      </w:r>
    </w:p>
    <w:p>
      <w:pPr>
        <w:spacing w:after="0" w:line="25" w:lineRule="exact"/>
        <w:rPr>
          <w:rFonts w:ascii="Arial" w:cs="Arial" w:eastAsia="Arial" w:hAnsi="Arial"/>
          <w:sz w:val="19"/>
          <w:szCs w:val="19"/>
          <w:color w:val="auto"/>
        </w:rPr>
      </w:pPr>
    </w:p>
    <w:p>
      <w:pPr>
        <w:ind w:left="660" w:firstLine="644"/>
        <w:spacing w:after="0" w:line="276" w:lineRule="auto"/>
        <w:tabs>
          <w:tab w:leader="none" w:pos="2032"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proxy, contract, arrangement, or relationship pursuant to which the Proposing Person has a right to vote, directly or indirectly, any shares of any security of the Corporation.</w:t>
      </w:r>
    </w:p>
    <w:p>
      <w:pPr>
        <w:spacing w:after="0" w:line="5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disclosures to be made pursuant to the foregoing clauses (ii), (iii), (iv) and (vi) shall not include any information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93" w:lineRule="exact"/>
        <w:rPr>
          <w:sz w:val="20"/>
          <w:szCs w:val="20"/>
          <w:color w:val="auto"/>
        </w:rPr>
      </w:pPr>
    </w:p>
    <w:p>
      <w:pPr>
        <w:jc w:val="both"/>
        <w:ind w:firstLine="656"/>
        <w:spacing w:after="0" w:line="287" w:lineRule="auto"/>
        <w:tabs>
          <w:tab w:leader="none" w:pos="1093" w:val="left"/>
        </w:tabs>
        <w:numPr>
          <w:ilvl w:val="0"/>
          <w:numId w:val="43"/>
        </w:numPr>
        <w:rPr>
          <w:rFonts w:ascii="Arial" w:cs="Arial" w:eastAsia="Arial" w:hAnsi="Arial"/>
          <w:sz w:val="19"/>
          <w:szCs w:val="19"/>
          <w:color w:val="auto"/>
        </w:rPr>
      </w:pPr>
      <w:r>
        <w:rPr>
          <w:rFonts w:ascii="Arial" w:cs="Arial" w:eastAsia="Arial" w:hAnsi="Arial"/>
          <w:sz w:val="19"/>
          <w:szCs w:val="19"/>
          <w:color w:val="auto"/>
        </w:rPr>
        <w:t>A Record Stockholder providing written notice required by this Section 1.12 shall update such notice, and any other information provided to the Corporation, in writing, so that the information provided or required to be provided in such notice is true and correct in all material respects as of (i) the record date for determining the stockholders entitled to notice of the meeting and (ii) 5:00 p.m. Eastern Time on the tenth (10th) business day prior to the meeting or any adjournment, postponement or rescheduling thereof. In the case of an update pursuant to clause (i) of the foregoing sentence, such update shall be received by the Secretary of the Corporation at the principal executive office of the Corporation not later than five (5) business days after the record date for determining the stockholders entitled to notice of the meeting, and in the case of an update and supplement pursuant to clause (ii) of the foregoing sentence, such update and supplement shall be received by the Secretary of the Corporation at the principal executive office of the Corporation not later than eight (8) business days prior to the date for the meeting, and, if practicable, any adjournment, postponement or rescheduling thereof (and, if not practicable, on the first practicable date prior to the date to which the meeting has been adjourned or postponed). Notwithstanding the foregoing, if a Proposing Person no longer plans to solicit proxies in accordance with its representation pursuant to Section 1.12.1(e)(xiv), the Record Stockholder shall inform the Corporation of this change by delivering a writing to the Secretary at the principal executive offices of the Corporation no later than two (2) business days after the occurrence of such change. A Record Stockholder shall also update its notice so that the information required by Section 1.12.1(e)(viii) is current through the date of the meeting or any adjournment, postponement, or rescheduling thereof, and such update shall be delivered in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13" w:lineRule="exact"/>
        <w:rPr>
          <w:rFonts w:ascii="Arial" w:cs="Arial" w:eastAsia="Arial" w:hAnsi="Arial"/>
          <w:sz w:val="19"/>
          <w:szCs w:val="19"/>
          <w:color w:val="auto"/>
        </w:rPr>
      </w:pPr>
    </w:p>
    <w:p>
      <w:pPr>
        <w:ind w:left="5520" w:hanging="107"/>
        <w:spacing w:after="0"/>
        <w:tabs>
          <w:tab w:leader="none" w:pos="5520" w:val="left"/>
        </w:tabs>
        <w:numPr>
          <w:ilvl w:val="1"/>
          <w:numId w:val="43"/>
        </w:numPr>
        <w:rPr>
          <w:rFonts w:ascii="Arial" w:cs="Arial" w:eastAsia="Arial" w:hAnsi="Arial"/>
          <w:sz w:val="20"/>
          <w:szCs w:val="20"/>
          <w:color w:val="auto"/>
        </w:rPr>
      </w:pPr>
      <w:r>
        <w:rPr>
          <w:rFonts w:ascii="Arial" w:cs="Arial" w:eastAsia="Arial" w:hAnsi="Arial"/>
          <w:sz w:val="20"/>
          <w:szCs w:val="20"/>
          <w:color w:val="auto"/>
        </w:rPr>
        <w:t>11 -</w:t>
      </w:r>
    </w:p>
    <w:p>
      <w:pPr>
        <w:sectPr>
          <w:pgSz w:w="11900" w:h="16838" w:orient="portrait"/>
          <w:cols w:equalWidth="0" w:num="1">
            <w:col w:w="11240"/>
          </w:cols>
          <w:pgMar w:left="320" w:top="1401" w:right="339" w:bottom="1440" w:gutter="0" w:footer="0" w:header="0"/>
        </w:sectPr>
      </w:pPr>
    </w:p>
    <w:bookmarkStart w:id="115" w:name="page116"/>
    <w:bookmarkEnd w:id="115"/>
    <w:p>
      <w:pPr>
        <w:jc w:val="both"/>
        <w:spacing w:after="0" w:line="295" w:lineRule="auto"/>
        <w:rPr>
          <w:sz w:val="20"/>
          <w:szCs w:val="20"/>
          <w:color w:val="auto"/>
        </w:rPr>
      </w:pPr>
      <w:r>
        <w:rPr>
          <w:rFonts w:ascii="Arial" w:cs="Arial" w:eastAsia="Arial" w:hAnsi="Arial"/>
          <w:sz w:val="19"/>
          <w:szCs w:val="19"/>
          <w:color w:val="auto"/>
        </w:rPr>
        <w:t>writing to the Secretary at the principal executive offices of the Corporation no later than two (2) business days after the occurrence of any material change to the information previously disclosed pursuant to Section 1.12.1(e)(viii). For the avoidance of doubt, the obligation to update as set forth in this paragraph shall not limit the Corporation’s rights with respect to any deficiencies in any notice provided by a Record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If a Record Stockholder providing written notice required by this Section 1.12 fails to provide any written update in accordance with this Section 1.12, the information as to which such written update relates may be deemed not to have been provided in accordance with these Bylaws.</w:t>
      </w:r>
    </w:p>
    <w:p>
      <w:pPr>
        <w:spacing w:after="0" w:line="40" w:lineRule="exact"/>
        <w:rPr>
          <w:sz w:val="20"/>
          <w:szCs w:val="20"/>
          <w:color w:val="auto"/>
        </w:rPr>
      </w:pPr>
    </w:p>
    <w:p>
      <w:pPr>
        <w:jc w:val="both"/>
        <w:ind w:firstLine="656"/>
        <w:spacing w:after="0" w:line="259" w:lineRule="auto"/>
        <w:tabs>
          <w:tab w:leader="none" w:pos="1190" w:val="left"/>
        </w:tabs>
        <w:numPr>
          <w:ilvl w:val="0"/>
          <w:numId w:val="44"/>
        </w:numPr>
        <w:rPr>
          <w:rFonts w:ascii="Arial" w:cs="Arial" w:eastAsia="Arial" w:hAnsi="Arial"/>
          <w:sz w:val="21"/>
          <w:szCs w:val="21"/>
          <w:color w:val="auto"/>
        </w:rPr>
      </w:pPr>
      <w:r>
        <w:rPr>
          <w:rFonts w:ascii="Arial" w:cs="Arial" w:eastAsia="Arial" w:hAnsi="Arial"/>
          <w:sz w:val="21"/>
          <w:szCs w:val="21"/>
          <w:color w:val="auto"/>
        </w:rPr>
        <w:t>If any information submitted pursuant to this Section 1.12 is inaccurate or incomplete in any material respect (as determined by the Board or a committee thereof), such information shall be deemed not to have been provided in accordance with these Bylaws. A Record Stockholder shall notify the Secretary in writing at the principal executive offices of the Corporation of any inaccuracy or change in any information submitted within two (2) business days after becoming aware of such inaccuracy or change, and any such notification shall clearly identify the inaccuracy or change, it being understood that no such notification will cure any deficiencies or inaccuracies with respect to any prior submission by such Record Stockholder. Upon written request of the Secretary on behalf of the Board (or a duly authorized committee thereof), the Record Stockholder shall provide, within seven (7) business days after delivery of such request (or such longer period as may be specified in such request), (1) written verification, reasonably satisfactory to the Board, any committee thereof, or any authorized officer of the Corporation, to demonstrate the accuracy of any information submitted and (2) a written affirmation of any information submitted as of an earlier date. If the Record Stockholder fails to provide such written verification or affirmation within such period, the information as to which written verification or affirmation was requested may be deemed not to have been provided in accordance with these Bylaws.</w:t>
      </w:r>
    </w:p>
    <w:p>
      <w:pPr>
        <w:spacing w:after="0" w:line="81" w:lineRule="exact"/>
        <w:rPr>
          <w:rFonts w:ascii="Arial" w:cs="Arial" w:eastAsia="Arial" w:hAnsi="Arial"/>
          <w:sz w:val="21"/>
          <w:szCs w:val="21"/>
          <w:color w:val="auto"/>
        </w:rPr>
      </w:pPr>
    </w:p>
    <w:p>
      <w:pPr>
        <w:jc w:val="both"/>
        <w:ind w:firstLine="656"/>
        <w:spacing w:after="0" w:line="251" w:lineRule="auto"/>
        <w:tabs>
          <w:tab w:leader="none" w:pos="1145"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Notwithstanding anything in Section 1.12 or any other provision of the Bylaws to the contrary, any person who has been determined by a majority of the Whole Board to have violated Section 2.11 of these Bylaws or a Board Confidentiality Policy (as defined below) while serving as a director of the Corporation in the preceding five (5) years shall be ineligible to be nominated or be qualified to serve as a member of the Board, absent a prior waiver for such nomination or qualification approved by two-thirds of the Whole Board.</w:t>
      </w:r>
    </w:p>
    <w:p>
      <w:pPr>
        <w:spacing w:after="0" w:line="8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1.12.2 </w:t>
      </w:r>
      <w:r>
        <w:rPr>
          <w:rFonts w:ascii="Arial" w:cs="Arial" w:eastAsia="Arial" w:hAnsi="Arial"/>
          <w:sz w:val="19"/>
          <w:szCs w:val="19"/>
          <w:u w:val="single" w:color="auto"/>
          <w:color w:val="auto"/>
        </w:rPr>
        <w:t>Submission of Questionnaire, Representation and Agreement</w:t>
      </w:r>
      <w:r>
        <w:rPr>
          <w:rFonts w:ascii="Arial" w:cs="Arial" w:eastAsia="Arial" w:hAnsi="Arial"/>
          <w:sz w:val="19"/>
          <w:szCs w:val="19"/>
          <w:color w:val="auto"/>
        </w:rPr>
        <w:t>. To be eligible to be a nominee of any stockholder for election or reelection as a director of the Corporation, the person proposed to be nominated must deliver (in accordance with the time periods prescribed for delivery of notice under Section 1.12 of these Bylaws) to the Secretary at the principal executive offices of the Corporation all completed and signed questionnaires in the forms required by the Corporation (which form the stockholder shall request in writing from the Secretary of the Corporation and which the Secretary shall provide to such stockholder within ten (10) days of receiving such request) with respect to the background and qualification of such person to serve as a director of the Corporation and the background of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- 12 -</w:t>
      </w:r>
    </w:p>
    <w:p>
      <w:pPr>
        <w:sectPr>
          <w:pgSz w:w="11900" w:h="16838" w:orient="portrait"/>
          <w:cols w:equalWidth="0" w:num="1">
            <w:col w:w="11240"/>
          </w:cols>
          <w:pgMar w:left="320" w:top="1401" w:right="339" w:bottom="1440" w:gutter="0" w:footer="0" w:header="0"/>
        </w:sectPr>
      </w:pPr>
    </w:p>
    <w:bookmarkStart w:id="116" w:name="page117"/>
    <w:bookmarkEnd w:id="116"/>
    <w:p>
      <w:pPr>
        <w:jc w:val="both"/>
        <w:spacing w:after="0" w:line="288" w:lineRule="auto"/>
        <w:rPr>
          <w:sz w:val="20"/>
          <w:szCs w:val="20"/>
          <w:color w:val="auto"/>
        </w:rPr>
      </w:pPr>
      <w:r>
        <w:rPr>
          <w:rFonts w:ascii="Arial" w:cs="Arial" w:eastAsia="Arial" w:hAnsi="Arial"/>
          <w:sz w:val="19"/>
          <w:szCs w:val="19"/>
          <w:color w:val="auto"/>
        </w:rPr>
        <w:t>on whose behalf, directly or indirectly, the nomination is being made and a signed representation and agreement (in the form available from the Secretary upon written request) that such person: (a) is not and will not become a party to (i)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19"/>
          <w:szCs w:val="19"/>
          <w:b w:val="1"/>
          <w:bCs w:val="1"/>
          <w:i w:val="1"/>
          <w:iCs w:val="1"/>
          <w:color w:val="auto"/>
        </w:rPr>
        <w:t>Voting Commitment</w:t>
      </w:r>
      <w:r>
        <w:rPr>
          <w:rFonts w:ascii="Arial" w:cs="Arial" w:eastAsia="Arial" w:hAnsi="Arial"/>
          <w:sz w:val="19"/>
          <w:szCs w:val="19"/>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Compensation Arrangement (as defined below) that has not been disclosed therein, (c) if elected as a director of the Corporation, will comply with all informational and similar requirements of applicable insurance policies and laws and regulations in connection with service or action as a director of the Corporation, (d) if elected as a director of the Corporation, will comply with all corporate governance, conflict of interest, stock ownership requirements, confidentiality and trading policies and guidelines of the Corporation publicly disclosed from time to time, (e) if elected as a director of the Corporation, will act in the best interests of the Corporation and its stockholders and not in the interests of individual constituencies, (f) consents to being named as a nominee in any proxy materials relating to the Corporation’s next meeting and agrees to serve if elected as a director, (g) intends to serve as a director for the full term for which such individual is to stand for election, (h) represents and warrants that his or her candidacy or, if elected, Board membership, would not violate applicable state or federal law, the Certificate of Incorporation, these Bylaws, or the rules of any stock exchange on which shares of the Corporation’s Class A Common Stock are traded, and (i)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3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1.12.3 </w:t>
      </w:r>
      <w:r>
        <w:rPr>
          <w:rFonts w:ascii="Arial" w:cs="Arial" w:eastAsia="Arial" w:hAnsi="Arial"/>
          <w:sz w:val="19"/>
          <w:szCs w:val="19"/>
          <w:u w:val="single" w:color="auto"/>
          <w:color w:val="auto"/>
        </w:rPr>
        <w:t>Special Meetings of Stockholders</w:t>
      </w:r>
      <w:r>
        <w:rPr>
          <w:rFonts w:ascii="Arial" w:cs="Arial" w:eastAsia="Arial" w:hAnsi="Arial"/>
          <w:sz w:val="19"/>
          <w:szCs w:val="19"/>
          <w:color w:val="auto"/>
        </w:rPr>
        <w:t>. Only such business shall be conducted at a special meeting of stockholders as shall have been brought before the meeting pursuant to the Corporation’s notice of such meeting. Nominations of persons for election to the Board may be made at a special meeting of stockholders at which directors are to be elected pursuant to the Corporation’s notice of such meeting (a) by or at the direction of the Board or any committee thereof or (b) provided that the Board has determined that directors shall be elected at such meeting, by any stockholder of the Corporation who is a stockholder of record at the time of giving of notice of the special meeting, who shall be entitled to vote at the meeting and who complies with the notice and other procedures set forth in this Section 1.12 in all applicable respects.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(A) the stockholder’s notice required by Section 1.12.1(b) of these Bylaws shall be delivered to the Secretary of the Corporation at the principal executive offices of the Corporation (i) no earlier than the one hundred and twentieth (120th) day prior to such special meeting and (ii) no later than 5:00 p.m. Eastern Time on the later of the ninetieth (90th) day prior to such special meeting or the tenth (10th) day following the day on which Public Announcement is first made of the date of the special meeting and of the nominees proposed by the Board to be elected at such meeting, (B) the stockholder has complied in all respects with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- 13 -</w:t>
      </w:r>
    </w:p>
    <w:p>
      <w:pPr>
        <w:sectPr>
          <w:pgSz w:w="11900" w:h="16838" w:orient="portrait"/>
          <w:cols w:equalWidth="0" w:num="1">
            <w:col w:w="11240"/>
          </w:cols>
          <w:pgMar w:left="320" w:top="1401" w:right="339" w:bottom="1440" w:gutter="0" w:footer="0" w:header="0"/>
        </w:sectPr>
      </w:pPr>
    </w:p>
    <w:bookmarkStart w:id="117" w:name="page118"/>
    <w:bookmarkEnd w:id="117"/>
    <w:p>
      <w:pPr>
        <w:jc w:val="both"/>
        <w:spacing w:after="0" w:line="249" w:lineRule="auto"/>
        <w:rPr>
          <w:sz w:val="20"/>
          <w:szCs w:val="20"/>
          <w:color w:val="auto"/>
        </w:rPr>
      </w:pPr>
      <w:r>
        <w:rPr>
          <w:rFonts w:ascii="Arial" w:cs="Arial" w:eastAsia="Arial" w:hAnsi="Arial"/>
          <w:sz w:val="22"/>
          <w:szCs w:val="22"/>
          <w:color w:val="auto"/>
        </w:rPr>
        <w:t>Section 14 of the Exchange Act, including, without limitation, if applicable, the requirements of Rule 14a-19 (as such rule and regulations may be amended from time to time by the Securities and Exchange Commission, including any Securities and Exchange Staff interpretations relating thereto) and (C) the Board or an executive officer designated thereby has determined that the stockholder has satisfied the requirements of Section 1.12. In no event shall an adjournment, postponement or rescheduling (or the Public Announcement thereof) of a special meeting commence a new time period (or extend any time period) for providing such notice.</w:t>
      </w:r>
    </w:p>
    <w:p>
      <w:pPr>
        <w:spacing w:after="0" w:line="9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1.12.4</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2" w:lineRule="exact"/>
        <w:rPr>
          <w:sz w:val="20"/>
          <w:szCs w:val="20"/>
          <w:color w:val="auto"/>
        </w:rPr>
      </w:pPr>
    </w:p>
    <w:p>
      <w:pPr>
        <w:jc w:val="both"/>
        <w:ind w:firstLine="656"/>
        <w:spacing w:after="0" w:line="287" w:lineRule="auto"/>
        <w:tabs>
          <w:tab w:leader="none" w:pos="1109" w:val="left"/>
        </w:tabs>
        <w:numPr>
          <w:ilvl w:val="0"/>
          <w:numId w:val="45"/>
        </w:numPr>
        <w:rPr>
          <w:rFonts w:ascii="Arial" w:cs="Arial" w:eastAsia="Arial" w:hAnsi="Arial"/>
          <w:sz w:val="19"/>
          <w:szCs w:val="19"/>
          <w:color w:val="auto"/>
        </w:rPr>
      </w:pPr>
      <w:r>
        <w:rPr>
          <w:rFonts w:ascii="Arial" w:cs="Arial" w:eastAsia="Arial" w:hAnsi="Arial"/>
          <w:sz w:val="19"/>
          <w:szCs w:val="19"/>
          <w:color w:val="auto"/>
        </w:rPr>
        <w:t>(i) Except as otherwise expressly provided in any applicable rule or regulation promulgated under the Exchange Act, only such persons who are nominated in accordance with the procedures set forth in this Section 1.12 shall be eligible to be elected at a meeting of stockholders and serve as directors and only such business shall be conducted at a meeting of stockholders as shall have been brought before the meeting in accordance with the procedures set forth in this Section 1.12. The number of nominees a stockholder may nominate for election at a meeting of stockholders (or in the case of a Record Stockholder giving the notice on behalf of another Proposing Person, the number of nominees a stockholder may nominate for election at the meeting on behalf of such Proposing Person) shall not exceed the number of directors to be elected at such meeting. Except as otherwise provided by law or these Bylaws, the chairperson of the meeting shall have the power and duty to determine whether a nomination or any other business proposed to be brought before the meeting was made or proposed, as the case may be, in accordance with the procedures set forth in this Section 1.12 (including satisfying the information requirements set forth herein with accurate and complete information) and, if any proposed nomination or business is not in compliance herewith, to declare that such defective proposal or nomination shall be disregarded (and any such nominee shall be disqualified), including that if a stockholder provides notice pursuant to Rule 14a-19(b) promulgated under the Exchange Act and subsequently fails to comply with the requirements of Rule 14a-19(a)(2) and Rule 14a-19(a)(3) promulgated under the Exchange Act, including the provision to the Corporation of notices required thereunder in a timely manner, then the Corporation shall disregard any proxies or votes solicited for such stockholder’s director nominees (and any such nominee shall be disqualified). Notwithstanding the foregoing provisions of this Section 1.12, unless otherwise required by law, if the stockholder (or a Qualified Representative of the stockholder (as defined below))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If a stockholder has given timely notice as required herein to make a nomination or bring a proposal of other business before any annual or special meeting of stockholders of the Corporation and intends to authorize a Qualified Representative to act for such stockholder as a proxy to present the nomination or proposal at such meeting, the stockholder shall give notice of such authorization in writing to the Secretary not less than three (3) business days before the date of such meeting, including the name and contact information for such person. Notwithstanding the foregoing provisions of Section 1.12, unless otherwise required by law, no stockholder shall solicit proxies in support of director nominees other than the Corporation’s nominees unless such stockholder has complied with Rule 14a-19 promulgated under the Exchange Act in connection with the solicitation 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49" w:lineRule="exact"/>
        <w:rPr>
          <w:rFonts w:ascii="Arial" w:cs="Arial" w:eastAsia="Arial" w:hAnsi="Arial"/>
          <w:sz w:val="19"/>
          <w:szCs w:val="19"/>
          <w:color w:val="auto"/>
        </w:rPr>
      </w:pPr>
    </w:p>
    <w:p>
      <w:pPr>
        <w:ind w:left="5520" w:hanging="110"/>
        <w:spacing w:after="0"/>
        <w:tabs>
          <w:tab w:leader="none" w:pos="5520" w:val="left"/>
        </w:tabs>
        <w:numPr>
          <w:ilvl w:val="1"/>
          <w:numId w:val="45"/>
        </w:numPr>
        <w:rPr>
          <w:rFonts w:ascii="Arial" w:cs="Arial" w:eastAsia="Arial" w:hAnsi="Arial"/>
          <w:sz w:val="20"/>
          <w:szCs w:val="20"/>
          <w:color w:val="auto"/>
        </w:rPr>
      </w:pPr>
      <w:r>
        <w:rPr>
          <w:rFonts w:ascii="Arial" w:cs="Arial" w:eastAsia="Arial" w:hAnsi="Arial"/>
          <w:sz w:val="20"/>
          <w:szCs w:val="20"/>
          <w:color w:val="auto"/>
        </w:rPr>
        <w:t>14 -</w:t>
      </w:r>
    </w:p>
    <w:p>
      <w:pPr>
        <w:sectPr>
          <w:pgSz w:w="11900" w:h="16838" w:orient="portrait"/>
          <w:cols w:equalWidth="0" w:num="1">
            <w:col w:w="11240"/>
          </w:cols>
          <w:pgMar w:left="320" w:top="1401"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color w:val="auto"/>
        </w:rPr>
        <w:t>such proxies, including the provision to the Corporation of notices required thereunder in a timely manner.</w:t>
      </w:r>
    </w:p>
    <w:p>
      <w:pPr>
        <w:spacing w:after="0" w:line="125" w:lineRule="exact"/>
        <w:rPr>
          <w:sz w:val="20"/>
          <w:szCs w:val="20"/>
          <w:color w:val="auto"/>
        </w:rPr>
      </w:pPr>
    </w:p>
    <w:p>
      <w:pPr>
        <w:jc w:val="both"/>
        <w:ind w:firstLine="656"/>
        <w:spacing w:after="0" w:line="297" w:lineRule="auto"/>
        <w:tabs>
          <w:tab w:leader="none" w:pos="97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Board may request that any Proposing Person, and any proposed nominee of such Proposing Person, furnish such additional information as may be reasonably required by the Board. Such Proposing Person and/or proposed nominee thereof shall provide such additional information within ten (10) days after it has been requested by the Board. The Board may require any such proposed nominee to submit to interviews with the Board or any committee thereof, and such proposed nominee shall make themself available for any such interviews within no less than ten (10) business days following the date of such request.</w:t>
      </w:r>
    </w:p>
    <w:p>
      <w:pPr>
        <w:spacing w:after="0" w:line="52" w:lineRule="exact"/>
        <w:rPr>
          <w:sz w:val="20"/>
          <w:szCs w:val="20"/>
          <w:color w:val="auto"/>
        </w:rPr>
      </w:pPr>
    </w:p>
    <w:p>
      <w:pPr>
        <w:jc w:val="both"/>
        <w:ind w:firstLine="656"/>
        <w:spacing w:after="0" w:line="247" w:lineRule="auto"/>
        <w:tabs>
          <w:tab w:leader="none" w:pos="1176" w:val="left"/>
        </w:tabs>
        <w:numPr>
          <w:ilvl w:val="0"/>
          <w:numId w:val="47"/>
        </w:numPr>
        <w:rPr>
          <w:rFonts w:ascii="Arial" w:cs="Arial" w:eastAsia="Arial" w:hAnsi="Arial"/>
          <w:sz w:val="22"/>
          <w:szCs w:val="22"/>
          <w:color w:val="auto"/>
        </w:rPr>
      </w:pPr>
      <w:r>
        <w:rPr>
          <w:rFonts w:ascii="Arial" w:cs="Arial" w:eastAsia="Arial" w:hAnsi="Arial"/>
          <w:sz w:val="22"/>
          <w:szCs w:val="22"/>
          <w:color w:val="auto"/>
        </w:rPr>
        <w:t>Notwithstanding the foregoing provisions of this Section 1.12, a stockholder shall also comply with all applicable requirements of the Exchange Act and the rules and regulations thereunder with respect to the matters set forth herein, for the avoidance of doubt including, but not limited to, Rule 14a-19 of the Exchange Act. Nothing in this Section 1.12 shall be deemed to affect any rights of (a) stockholders to request inclusion of proposals in the Corporation’s proxy statement pursuant to Rule 14a-8 under the Exchange Act or (b) the holders of any series of Preferred Stock to elect directors pursuant to any applicable provisions of the Certificate of Incorporation.</w:t>
      </w:r>
    </w:p>
    <w:p>
      <w:pPr>
        <w:spacing w:after="0" w:line="98" w:lineRule="exact"/>
        <w:rPr>
          <w:rFonts w:ascii="Arial" w:cs="Arial" w:eastAsia="Arial" w:hAnsi="Arial"/>
          <w:sz w:val="22"/>
          <w:szCs w:val="22"/>
          <w:color w:val="auto"/>
        </w:rPr>
      </w:pPr>
    </w:p>
    <w:p>
      <w:pPr>
        <w:ind w:left="1120" w:hanging="464"/>
        <w:spacing w:after="0"/>
        <w:tabs>
          <w:tab w:leader="none" w:pos="11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For purposes of these Bylaws the following definitions shall apply:</w:t>
      </w:r>
    </w:p>
    <w:p>
      <w:pPr>
        <w:spacing w:after="0" w:line="111" w:lineRule="exact"/>
        <w:rPr>
          <w:rFonts w:ascii="Arial" w:cs="Arial" w:eastAsia="Arial" w:hAnsi="Arial"/>
          <w:sz w:val="22"/>
          <w:szCs w:val="22"/>
          <w:color w:val="auto"/>
        </w:rPr>
      </w:pPr>
    </w:p>
    <w:p>
      <w:pPr>
        <w:jc w:val="both"/>
        <w:ind w:left="1300" w:firstLine="652"/>
        <w:spacing w:after="0" w:line="289" w:lineRule="auto"/>
        <w:tabs>
          <w:tab w:leader="none" w:pos="2518" w:val="left"/>
        </w:tabs>
        <w:numPr>
          <w:ilvl w:val="1"/>
          <w:numId w:val="47"/>
        </w:numPr>
        <w:rPr>
          <w:rFonts w:ascii="Arial" w:cs="Arial" w:eastAsia="Arial" w:hAnsi="Arial"/>
          <w:sz w:val="19"/>
          <w:szCs w:val="19"/>
          <w:color w:val="auto"/>
        </w:rPr>
      </w:pPr>
      <w:r>
        <w:rPr>
          <w:rFonts w:ascii="Arial" w:cs="Arial" w:eastAsia="Arial" w:hAnsi="Arial"/>
          <w:sz w:val="19"/>
          <w:szCs w:val="19"/>
          <w:color w:val="auto"/>
        </w:rPr>
        <w:t>a person shall be deemed to be “</w:t>
      </w:r>
      <w:r>
        <w:rPr>
          <w:rFonts w:ascii="Arial" w:cs="Arial" w:eastAsia="Arial" w:hAnsi="Arial"/>
          <w:sz w:val="19"/>
          <w:szCs w:val="19"/>
          <w:b w:val="1"/>
          <w:bCs w:val="1"/>
          <w:i w:val="1"/>
          <w:iCs w:val="1"/>
          <w:color w:val="auto"/>
        </w:rPr>
        <w:t>Acting in Concert</w:t>
      </w:r>
      <w:r>
        <w:rPr>
          <w:rFonts w:ascii="Arial" w:cs="Arial" w:eastAsia="Arial" w:hAnsi="Arial"/>
          <w:sz w:val="19"/>
          <w:szCs w:val="19"/>
          <w:color w:val="auto"/>
        </w:rPr>
        <w:t>” with another person if such person knowingly acts (whether or not pursuant to an express agreement, arrangement or understanding) in concert with, or toward a common goal relating to the management, governance or control of the Corporation in substantial parallel with, such other person where (1) each person is conscious of the other person’s conduct or intent and this awareness is an element in their decision-making processes and (2) at least one additional factor suggests that such persons intend to act in concert or in substantial parallel, which such additional factors may include, without limitation, exchanging information (whether publicly or privately), attending meetings, conducting discussions or making or soliciting invitations to act in concert or in substantial parallel; provided that a person shall not be deemed to be Acting in Concert with any other person solely as a result of the solicitation or receipt of revocable proxies or consents from such other person in response to a solicitation made pursuant to, and in accordance with, Section 14(a) (or any successor provision) of the Exchange Act by way of a proxy or consent solicitation statement filed on Schedule 14A. A person Acting in Concert with another person shall be deemed to be Acting in Concert with any third party who is also Acting in Concert with such other person;</w:t>
      </w:r>
    </w:p>
    <w:p>
      <w:pPr>
        <w:spacing w:after="0" w:line="49" w:lineRule="exact"/>
        <w:rPr>
          <w:rFonts w:ascii="Arial" w:cs="Arial" w:eastAsia="Arial" w:hAnsi="Arial"/>
          <w:sz w:val="19"/>
          <w:szCs w:val="19"/>
          <w:color w:val="auto"/>
        </w:rPr>
      </w:pPr>
    </w:p>
    <w:p>
      <w:pPr>
        <w:jc w:val="both"/>
        <w:ind w:left="1300" w:firstLine="652"/>
        <w:spacing w:after="0" w:line="254" w:lineRule="auto"/>
        <w:tabs>
          <w:tab w:leader="none" w:pos="2465"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and “</w:t>
      </w:r>
      <w:r>
        <w:rPr>
          <w:rFonts w:ascii="Arial" w:cs="Arial" w:eastAsia="Arial" w:hAnsi="Arial"/>
          <w:sz w:val="22"/>
          <w:szCs w:val="22"/>
          <w:b w:val="1"/>
          <w:bCs w:val="1"/>
          <w:i w:val="1"/>
          <w:iCs w:val="1"/>
          <w:color w:val="auto"/>
        </w:rPr>
        <w:t>associate</w:t>
      </w:r>
      <w:r>
        <w:rPr>
          <w:rFonts w:ascii="Arial" w:cs="Arial" w:eastAsia="Arial" w:hAnsi="Arial"/>
          <w:sz w:val="22"/>
          <w:szCs w:val="22"/>
          <w:color w:val="auto"/>
        </w:rPr>
        <w:t>” shall have the meanings ascribed thereto in Rule 405 under the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provided, however, that the term “partner” as used in the definition of “associate” shall not include any limited partner that is not involved in the management of the relevant partnership;</w:t>
      </w:r>
    </w:p>
    <w:p>
      <w:pPr>
        <w:spacing w:after="0" w:line="76" w:lineRule="exact"/>
        <w:rPr>
          <w:rFonts w:ascii="Arial" w:cs="Arial" w:eastAsia="Arial" w:hAnsi="Arial"/>
          <w:sz w:val="22"/>
          <w:szCs w:val="22"/>
          <w:color w:val="auto"/>
        </w:rPr>
      </w:pPr>
    </w:p>
    <w:p>
      <w:pPr>
        <w:ind w:left="1300" w:firstLine="652"/>
        <w:spacing w:after="0" w:line="263" w:lineRule="auto"/>
        <w:tabs>
          <w:tab w:leader="none" w:pos="2506" w:val="left"/>
        </w:tabs>
        <w:numPr>
          <w:ilvl w:val="1"/>
          <w:numId w:val="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Associated Person</w:t>
      </w:r>
      <w:r>
        <w:rPr>
          <w:rFonts w:ascii="Arial" w:cs="Arial" w:eastAsia="Arial" w:hAnsi="Arial"/>
          <w:sz w:val="22"/>
          <w:szCs w:val="22"/>
          <w:color w:val="auto"/>
        </w:rPr>
        <w:t>” shall mean with respect to any subject stockholder or other person (including any proposed nominee) (1) any person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08" w:lineRule="exact"/>
        <w:rPr>
          <w:rFonts w:ascii="Arial" w:cs="Arial" w:eastAsia="Arial" w:hAnsi="Arial"/>
          <w:sz w:val="22"/>
          <w:szCs w:val="22"/>
          <w:color w:val="auto"/>
        </w:rPr>
      </w:pPr>
    </w:p>
    <w:p>
      <w:pPr>
        <w:ind w:left="5520" w:hanging="110"/>
        <w:spacing w:after="0"/>
        <w:tabs>
          <w:tab w:leader="none" w:pos="5520" w:val="left"/>
        </w:tabs>
        <w:numPr>
          <w:ilvl w:val="2"/>
          <w:numId w:val="47"/>
        </w:numPr>
        <w:rPr>
          <w:rFonts w:ascii="Arial" w:cs="Arial" w:eastAsia="Arial" w:hAnsi="Arial"/>
          <w:sz w:val="20"/>
          <w:szCs w:val="20"/>
          <w:color w:val="auto"/>
        </w:rPr>
      </w:pPr>
      <w:r>
        <w:rPr>
          <w:rFonts w:ascii="Arial" w:cs="Arial" w:eastAsia="Arial" w:hAnsi="Arial"/>
          <w:sz w:val="20"/>
          <w:szCs w:val="20"/>
          <w:color w:val="auto"/>
        </w:rPr>
        <w:t>15 -</w:t>
      </w:r>
    </w:p>
    <w:p>
      <w:pPr>
        <w:sectPr>
          <w:pgSz w:w="11900" w:h="16838" w:orient="portrait"/>
          <w:cols w:equalWidth="0" w:num="1">
            <w:col w:w="11240"/>
          </w:cols>
          <w:pgMar w:left="320" w:top="1401"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color w:val="auto"/>
        </w:rPr>
        <w:t>directly or indirectly controlling, controlled by or under common control with such stockholder or other person,</w:t>
      </w:r>
    </w:p>
    <w:p>
      <w:pPr>
        <w:spacing w:after="0" w:line="21" w:lineRule="exact"/>
        <w:rPr>
          <w:sz w:val="20"/>
          <w:szCs w:val="20"/>
          <w:color w:val="auto"/>
        </w:rPr>
      </w:pPr>
    </w:p>
    <w:p>
      <w:pPr>
        <w:jc w:val="both"/>
        <w:ind w:left="1300" w:firstLine="4"/>
        <w:spacing w:after="0" w:line="310" w:lineRule="auto"/>
        <w:tabs>
          <w:tab w:leader="none" w:pos="1607"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any beneficial owner of shares of stock of the Corporation owned of record or beneficially by such stockholder or other person, (3) any associate of such stockholder or other person, and (4) any person directly or indirectly controlling, controlled by or under common control or Acting in Concert with any such Associated Person;</w:t>
      </w:r>
    </w:p>
    <w:p>
      <w:pPr>
        <w:spacing w:after="0" w:line="26" w:lineRule="exact"/>
        <w:rPr>
          <w:rFonts w:ascii="Arial" w:cs="Arial" w:eastAsia="Arial" w:hAnsi="Arial"/>
          <w:sz w:val="19"/>
          <w:szCs w:val="19"/>
          <w:color w:val="auto"/>
        </w:rPr>
      </w:pPr>
    </w:p>
    <w:p>
      <w:pPr>
        <w:jc w:val="both"/>
        <w:ind w:left="1300" w:firstLine="652"/>
        <w:spacing w:after="0" w:line="251" w:lineRule="auto"/>
        <w:tabs>
          <w:tab w:leader="none" w:pos="2572"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Arrangement</w:t>
      </w:r>
      <w:r>
        <w:rPr>
          <w:rFonts w:ascii="Arial" w:cs="Arial" w:eastAsia="Arial" w:hAnsi="Arial"/>
          <w:sz w:val="22"/>
          <w:szCs w:val="22"/>
          <w:color w:val="auto"/>
        </w:rPr>
        <w:t>” shall mean any direct or indirect compensatory payment or other financial agreement, arrangement or understanding with any person or entity other than the Corporation, including any agreement, arrangement or understanding with respect to any direct or indirect compensation, reimbursement or indemnification in connection with candidacy, nomination, service or action as a nominee or as a director of the Corporation;</w:t>
      </w:r>
    </w:p>
    <w:p>
      <w:pPr>
        <w:spacing w:after="0" w:line="81" w:lineRule="exact"/>
        <w:rPr>
          <w:rFonts w:ascii="Arial" w:cs="Arial" w:eastAsia="Arial" w:hAnsi="Arial"/>
          <w:sz w:val="22"/>
          <w:szCs w:val="22"/>
          <w:color w:val="auto"/>
        </w:rPr>
      </w:pPr>
    </w:p>
    <w:p>
      <w:pPr>
        <w:ind w:left="1300" w:firstLine="652"/>
        <w:spacing w:after="0" w:line="287" w:lineRule="auto"/>
        <w:tabs>
          <w:tab w:leader="none" w:pos="2561" w:val="left"/>
        </w:tabs>
        <w:numPr>
          <w:ilvl w:val="1"/>
          <w:numId w:val="4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Competitor</w:t>
      </w:r>
      <w:r>
        <w:rPr>
          <w:rFonts w:ascii="Arial" w:cs="Arial" w:eastAsia="Arial" w:hAnsi="Arial"/>
          <w:sz w:val="21"/>
          <w:szCs w:val="21"/>
          <w:color w:val="auto"/>
        </w:rPr>
        <w:t>” shall mean any entity that provides products or services that compete with or are alternatives to the principal products produced or services provided by the Corporation or its affiliates;</w:t>
      </w:r>
    </w:p>
    <w:p>
      <w:pPr>
        <w:spacing w:after="0" w:line="43" w:lineRule="exact"/>
        <w:rPr>
          <w:rFonts w:ascii="Arial" w:cs="Arial" w:eastAsia="Arial" w:hAnsi="Arial"/>
          <w:sz w:val="21"/>
          <w:szCs w:val="21"/>
          <w:color w:val="auto"/>
        </w:rPr>
      </w:pPr>
    </w:p>
    <w:p>
      <w:pPr>
        <w:jc w:val="both"/>
        <w:ind w:left="1300" w:firstLine="652"/>
        <w:spacing w:after="0" w:line="251" w:lineRule="auto"/>
        <w:tabs>
          <w:tab w:leader="none" w:pos="2630"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Proposing Person</w:t>
      </w:r>
      <w:r>
        <w:rPr>
          <w:rFonts w:ascii="Arial" w:cs="Arial" w:eastAsia="Arial" w:hAnsi="Arial"/>
          <w:sz w:val="22"/>
          <w:szCs w:val="22"/>
          <w:color w:val="auto"/>
        </w:rPr>
        <w:t>” shall mean (1) the Record Stockholder providing the notice of business proposed to be brought before an annual meeting or nomination of persons for election to the Board at a stockholder meeting, (2) the beneficial owner or beneficial owners, if different, on whose behalf the notice of business proposed to be brought before the annual meeting or nomination of persons for election to the Board at a stockholder meeting is made, and (3) any Associated Person on whose behalf the notice of business proposed to be brought before the annual meeting or nomination of persons for election to the Board at a stockholder meeting is made;</w:t>
      </w:r>
    </w:p>
    <w:p>
      <w:pPr>
        <w:spacing w:after="0" w:line="78" w:lineRule="exact"/>
        <w:rPr>
          <w:rFonts w:ascii="Arial" w:cs="Arial" w:eastAsia="Arial" w:hAnsi="Arial"/>
          <w:sz w:val="22"/>
          <w:szCs w:val="22"/>
          <w:color w:val="auto"/>
        </w:rPr>
      </w:pPr>
    </w:p>
    <w:p>
      <w:pPr>
        <w:jc w:val="both"/>
        <w:ind w:left="1300" w:firstLine="652"/>
        <w:spacing w:after="0" w:line="253" w:lineRule="auto"/>
        <w:tabs>
          <w:tab w:leader="none" w:pos="2464" w:val="left"/>
        </w:tabs>
        <w:numPr>
          <w:ilvl w:val="1"/>
          <w:numId w:val="4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Public Announcement</w:t>
      </w:r>
      <w:r>
        <w:rPr>
          <w:rFonts w:ascii="Arial" w:cs="Arial" w:eastAsia="Arial" w:hAnsi="Arial"/>
          <w:sz w:val="22"/>
          <w:szCs w:val="22"/>
          <w:color w:val="auto"/>
        </w:rPr>
        <w:t>” shall mean disclosure in a press release reported by a national news service or in a document publicly filed by the Corporation with the Securities and Exchange Commission pursuant to Section 13, 14 or 15(d) of the Exchange Act; and</w:t>
      </w:r>
    </w:p>
    <w:p>
      <w:pPr>
        <w:spacing w:after="0" w:line="77" w:lineRule="exact"/>
        <w:rPr>
          <w:rFonts w:ascii="Arial" w:cs="Arial" w:eastAsia="Arial" w:hAnsi="Arial"/>
          <w:sz w:val="22"/>
          <w:szCs w:val="22"/>
          <w:color w:val="auto"/>
        </w:rPr>
      </w:pPr>
    </w:p>
    <w:p>
      <w:pPr>
        <w:jc w:val="both"/>
        <w:ind w:left="1300" w:firstLine="652"/>
        <w:spacing w:after="0" w:line="294" w:lineRule="auto"/>
        <w:tabs>
          <w:tab w:leader="none" w:pos="2504" w:val="left"/>
        </w:tabs>
        <w:numPr>
          <w:ilvl w:val="1"/>
          <w:numId w:val="48"/>
        </w:numPr>
        <w:rPr>
          <w:rFonts w:ascii="Arial" w:cs="Arial" w:eastAsia="Arial" w:hAnsi="Arial"/>
          <w:sz w:val="19"/>
          <w:szCs w:val="19"/>
          <w:color w:val="auto"/>
        </w:rPr>
      </w:pPr>
      <w:r>
        <w:rPr>
          <w:rFonts w:ascii="Arial" w:cs="Arial" w:eastAsia="Arial" w:hAnsi="Arial"/>
          <w:sz w:val="19"/>
          <w:szCs w:val="19"/>
          <w:color w:val="auto"/>
        </w:rPr>
        <w:t>to be considered a “</w:t>
      </w:r>
      <w:r>
        <w:rPr>
          <w:rFonts w:ascii="Arial" w:cs="Arial" w:eastAsia="Arial" w:hAnsi="Arial"/>
          <w:sz w:val="19"/>
          <w:szCs w:val="19"/>
          <w:b w:val="1"/>
          <w:bCs w:val="1"/>
          <w:i w:val="1"/>
          <w:iCs w:val="1"/>
          <w:color w:val="auto"/>
        </w:rPr>
        <w:t>Qualified Representative</w:t>
      </w:r>
      <w:r>
        <w:rPr>
          <w:rFonts w:ascii="Arial" w:cs="Arial" w:eastAsia="Arial" w:hAnsi="Arial"/>
          <w:sz w:val="19"/>
          <w:szCs w:val="19"/>
          <w:color w:val="auto"/>
        </w:rPr>
        <w:t>” of a stockholder, a person must be a duly authorized officer, manager, trustee or partner of such stockholder or must be authorized by a writing executed by such stockholder or an electronic transmission delivered by such stockholder to act for such stockholder as a proxy at the meeting of stockholders and such person must produce such writing or electronic transmission, or a reliable reproduction thereof, at the meeting. The Secretary of the Corporation, or any other person who shall be appointed to serve as secretary of the meeting, may require, on behalf of the Corporation, reasonable and appropriate documentation to verify the status of a person purporting to be a “Qualified Representative” for purposes hereof.</w:t>
      </w:r>
    </w:p>
    <w:p>
      <w:pPr>
        <w:spacing w:after="0" w:line="5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u w:val="single" w:color="auto"/>
          <w:color w:val="auto"/>
        </w:rPr>
        <w:t>Section 1.13</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Emergency Bylaws</w:t>
      </w:r>
      <w:r>
        <w:rPr>
          <w:rFonts w:ascii="Arial" w:cs="Arial" w:eastAsia="Arial" w:hAnsi="Arial"/>
          <w:sz w:val="22"/>
          <w:szCs w:val="22"/>
          <w:b w:val="1"/>
          <w:bCs w:val="1"/>
          <w:color w:val="auto"/>
        </w:rPr>
        <w:t xml:space="preserve">. </w:t>
      </w:r>
      <w:r>
        <w:rPr>
          <w:rFonts w:ascii="Arial" w:cs="Arial" w:eastAsia="Arial" w:hAnsi="Arial"/>
          <w:sz w:val="22"/>
          <w:szCs w:val="22"/>
          <w:color w:val="auto"/>
        </w:rPr>
        <w:t>This Section 1.13 shall be operative during any emergency condition as</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by Section 110 of the DGCL (an “</w:t>
      </w:r>
      <w:r>
        <w:rPr>
          <w:rFonts w:ascii="Arial" w:cs="Arial" w:eastAsia="Arial" w:hAnsi="Arial"/>
          <w:sz w:val="22"/>
          <w:szCs w:val="22"/>
          <w:b w:val="1"/>
          <w:bCs w:val="1"/>
          <w:i w:val="1"/>
          <w:iCs w:val="1"/>
          <w:color w:val="auto"/>
        </w:rPr>
        <w:t>Emergency</w:t>
      </w:r>
      <w:r>
        <w:rPr>
          <w:rFonts w:ascii="Arial" w:cs="Arial" w:eastAsia="Arial" w:hAnsi="Arial"/>
          <w:sz w:val="22"/>
          <w:szCs w:val="22"/>
          <w:color w:val="auto"/>
        </w:rPr>
        <w:t>”), notwithstanding any different or conflicting provisions in these Bylaws, the Certificate of Incorporation or the DGCL. In the event of any Emergency the director or directors in attendance at a meeting of the Board or a standing committee thereof shall constitute a quorum.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- 16 -</w:t>
      </w:r>
    </w:p>
    <w:p>
      <w:pPr>
        <w:sectPr>
          <w:pgSz w:w="11900" w:h="16838" w:orient="portrait"/>
          <w:cols w:equalWidth="0" w:num="1">
            <w:col w:w="11240"/>
          </w:cols>
          <w:pgMar w:left="320" w:top="1401" w:right="339" w:bottom="1440" w:gutter="0" w:footer="0" w:header="0"/>
        </w:sectPr>
      </w:pPr>
    </w:p>
    <w:bookmarkStart w:id="120" w:name="page121"/>
    <w:bookmarkEnd w:id="120"/>
    <w:p>
      <w:pPr>
        <w:jc w:val="both"/>
        <w:spacing w:after="0" w:line="290" w:lineRule="auto"/>
        <w:rPr>
          <w:sz w:val="20"/>
          <w:szCs w:val="20"/>
          <w:color w:val="auto"/>
        </w:rPr>
      </w:pPr>
      <w:r>
        <w:rPr>
          <w:rFonts w:ascii="Arial" w:cs="Arial" w:eastAsia="Arial" w:hAnsi="Arial"/>
          <w:sz w:val="19"/>
          <w:szCs w:val="19"/>
          <w:color w:val="auto"/>
        </w:rPr>
        <w:t>director or directors in attendance may further take action to appoint one or more of themselves or other directors to membership on any standing or temporary committees of the Board as they shall deem necessary and appropriate. In the event that no directors are able to attend a meeting of the Board or any committee thereof in an Emergency, then the Designated Officers in attendance shall serve as directors, or committee members, as the case may be, for the meeting and will have full powers to act as directors, or committee members, as the case may be, of the Corporation. Except as the Board may otherwise determine, during any Emergency, the Corporation and its directors and officers, may exercise any authority and take any action or measure contemplated by Section 110 of the DGCL. For purposes of this Section 1.13, the term “</w:t>
      </w:r>
      <w:r>
        <w:rPr>
          <w:rFonts w:ascii="Arial" w:cs="Arial" w:eastAsia="Arial" w:hAnsi="Arial"/>
          <w:sz w:val="19"/>
          <w:szCs w:val="19"/>
          <w:b w:val="1"/>
          <w:bCs w:val="1"/>
          <w:i w:val="1"/>
          <w:iCs w:val="1"/>
          <w:color w:val="auto"/>
        </w:rPr>
        <w:t>Designated Officer</w:t>
      </w:r>
      <w:r>
        <w:rPr>
          <w:rFonts w:ascii="Arial" w:cs="Arial" w:eastAsia="Arial" w:hAnsi="Arial"/>
          <w:sz w:val="19"/>
          <w:szCs w:val="19"/>
          <w:color w:val="auto"/>
        </w:rPr>
        <w:t>” means an officer identified on a numbered list of officers of the Corporation who shall be deemed to be, in the order in which they appear on the list up until a quorum is obtained, directors of the Corporation, or members of a committee of the Board, as the case may be, for purposes of obtaining a quorum during an Emergency, if a quorum of directors or committee members, as the case may be, cannot otherwise be obtained during such Emergency, which list of Designated Officers shall be approved by the Board from time to time but in any event prior to such time or times as an Emergency may have occurred.</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BOARD OF DIRECTORS</w:t>
      </w:r>
    </w:p>
    <w:p>
      <w:pPr>
        <w:spacing w:after="0" w:line="11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u w:val="single" w:color="auto"/>
          <w:color w:val="auto"/>
        </w:rPr>
        <w:t>Section 2.1</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Number; Qualifications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The total number of directors constituting the Whole Board shall be fixed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in the manner set forth in the Certificate of Incorporation and the term “Whole Board” shall have the meaning specified in the Certificate of Incorporation. No decrease in the authorized number of directors constituting the Whole Board shall shorten the term of any incumbent director. Directors need not be stockholders of the Corporation.</w:t>
      </w:r>
    </w:p>
    <w:p>
      <w:pPr>
        <w:spacing w:after="0" w:line="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u w:val="single" w:color="auto"/>
          <w:color w:val="auto"/>
        </w:rPr>
        <w:t>Section 2.2</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Election; Resignation; Removal; Vacancies</w:t>
      </w:r>
      <w:r>
        <w:rPr>
          <w:rFonts w:ascii="Arial" w:cs="Arial" w:eastAsia="Arial" w:hAnsi="Arial"/>
          <w:sz w:val="21"/>
          <w:szCs w:val="21"/>
          <w:b w:val="1"/>
          <w:bCs w:val="1"/>
          <w:color w:val="auto"/>
        </w:rPr>
        <w:t xml:space="preserve">. </w:t>
      </w:r>
      <w:r>
        <w:rPr>
          <w:rFonts w:ascii="Arial" w:cs="Arial" w:eastAsia="Arial" w:hAnsi="Arial"/>
          <w:sz w:val="21"/>
          <w:szCs w:val="21"/>
          <w:color w:val="auto"/>
        </w:rPr>
        <w:t>Election of directors need not be by written ballot. Unless</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provided by the Certificate of Incorporation and subject to the special rights of holders of any series of Preferred Stock to elect directors, the Board shall be divided into three classes, designated as Class I, Class II and Class III. The number of directors in each class shall be divided as nearly equal as is practicable. Each director shall hold office until the annual meeting at which such director’s term expires and until such director’s successor is elected and qualified or until such director’s earlier death, resignation, disqualification or removal. Any director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a later time or upon the happening of an event. Subject to the special rights of holders of any series of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in the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-1684020</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2.3</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Regular Meetings</w:t>
      </w:r>
      <w:r>
        <w:rPr>
          <w:rFonts w:ascii="Arial" w:cs="Arial" w:eastAsia="Arial" w:hAnsi="Arial"/>
          <w:sz w:val="22"/>
          <w:szCs w:val="22"/>
          <w:b w:val="1"/>
          <w:bCs w:val="1"/>
          <w:color w:val="auto"/>
        </w:rPr>
        <w:t xml:space="preserve">. </w:t>
      </w:r>
      <w:r>
        <w:rPr>
          <w:rFonts w:ascii="Arial" w:cs="Arial" w:eastAsia="Arial" w:hAnsi="Arial"/>
          <w:sz w:val="22"/>
          <w:szCs w:val="22"/>
          <w:color w:val="auto"/>
        </w:rPr>
        <w:t>Regular meetings of the Board may be held at such places, within or without the State</w:t>
      </w:r>
      <w:r>
        <w:rPr>
          <w:rFonts w:ascii="Arial" w:cs="Arial" w:eastAsia="Arial" w:hAnsi="Arial"/>
          <w:sz w:val="22"/>
          <w:szCs w:val="22"/>
          <w:b w:val="1"/>
          <w:bCs w:val="1"/>
          <w:color w:val="auto"/>
        </w:rPr>
        <w:t xml:space="preserve"> </w:t>
      </w:r>
      <w:r>
        <w:rPr>
          <w:rFonts w:ascii="Arial" w:cs="Arial" w:eastAsia="Arial" w:hAnsi="Arial"/>
          <w:sz w:val="22"/>
          <w:szCs w:val="22"/>
          <w:color w:val="auto"/>
        </w:rPr>
        <w:t>of Delaware, and at such times as the Board may from time to time determine. Notice of regular meetings need not be given if the date, times and places thereof are fixed by resolution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- 17 -</w:t>
      </w:r>
    </w:p>
    <w:p>
      <w:pPr>
        <w:sectPr>
          <w:pgSz w:w="11900" w:h="16838" w:orient="portrait"/>
          <w:cols w:equalWidth="0" w:num="1">
            <w:col w:w="11240"/>
          </w:cols>
          <w:pgMar w:left="320" w:top="1401" w:right="339" w:bottom="1440" w:gutter="0" w:footer="0" w:header="0"/>
        </w:sectPr>
      </w:pPr>
    </w:p>
    <w:bookmarkStart w:id="121" w:name="page122"/>
    <w:bookmarkEnd w:id="121"/>
    <w:p>
      <w:pPr>
        <w:jc w:val="both"/>
        <w:ind w:firstLine="648"/>
        <w:spacing w:after="0" w:line="262" w:lineRule="auto"/>
        <w:rPr>
          <w:sz w:val="20"/>
          <w:szCs w:val="20"/>
          <w:color w:val="auto"/>
        </w:rPr>
      </w:pPr>
      <w:r>
        <w:rPr>
          <w:rFonts w:ascii="Arial" w:cs="Arial" w:eastAsia="Arial" w:hAnsi="Arial"/>
          <w:sz w:val="21"/>
          <w:szCs w:val="21"/>
          <w:b w:val="1"/>
          <w:bCs w:val="1"/>
          <w:u w:val="single" w:color="auto"/>
          <w:color w:val="auto"/>
        </w:rPr>
        <w:t>Section 2.4</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Special Meetings</w:t>
      </w:r>
      <w:r>
        <w:rPr>
          <w:rFonts w:ascii="Arial" w:cs="Arial" w:eastAsia="Arial" w:hAnsi="Arial"/>
          <w:sz w:val="21"/>
          <w:szCs w:val="21"/>
          <w:b w:val="1"/>
          <w:bCs w:val="1"/>
          <w:color w:val="auto"/>
        </w:rPr>
        <w:t xml:space="preserve">. </w:t>
      </w:r>
      <w:r>
        <w:rPr>
          <w:rFonts w:ascii="Arial" w:cs="Arial" w:eastAsia="Arial" w:hAnsi="Arial"/>
          <w:sz w:val="21"/>
          <w:szCs w:val="21"/>
          <w:color w:val="auto"/>
        </w:rPr>
        <w:t>Special meetings of the Board may be called by the Chairperson of the Board, the Chief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Executive Officer, the Lead Independent Director or a majority of the members of the Board then in office and may be held at any time, date or place, within or without the State of Delaware, as the person or persons calling the meeting shall fix. Notice of the time, date and place of such meeting shall be given, orally, in writing or by electronic transmission (including electronic mail), by the person or persons calling the meeting to all directors at least four (4) days before the meeting if the notice is mailed, or at least twenty-four (24) hours before the meeting if such notice is given by telephone, hand delivery or electronic transmission; </w:t>
      </w:r>
      <w:r>
        <w:rPr>
          <w:rFonts w:ascii="Arial" w:cs="Arial" w:eastAsia="Arial" w:hAnsi="Arial"/>
          <w:sz w:val="21"/>
          <w:szCs w:val="21"/>
          <w:i w:val="1"/>
          <w:iCs w:val="1"/>
          <w:color w:val="auto"/>
        </w:rPr>
        <w:t>provided, however</w:t>
      </w:r>
      <w:r>
        <w:rPr>
          <w:rFonts w:ascii="Arial" w:cs="Arial" w:eastAsia="Arial" w:hAnsi="Arial"/>
          <w:sz w:val="21"/>
          <w:szCs w:val="21"/>
          <w:color w:val="auto"/>
        </w:rPr>
        <w:t>, that if, under the circumstances, the Chairperson of the Board, the Lead Independent Director or the Chief Executive Officer calling a special meeting deems that more immediate action is necessary or appropriate, notice may be delivered on the day of such special meeting. Unless otherwise indicated in the notice, any and all business may be transacted at a special meeting.</w:t>
      </w:r>
    </w:p>
    <w:p>
      <w:pPr>
        <w:spacing w:after="0" w:line="64"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u w:val="single" w:color="auto"/>
          <w:color w:val="auto"/>
        </w:rPr>
        <w:t>Section 2.5</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Remote Meetings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Members of the Board, or any committee of the Board, may participate in a</w:t>
      </w:r>
      <w:r>
        <w:rPr>
          <w:rFonts w:ascii="Arial" w:cs="Arial" w:eastAsia="Arial" w:hAnsi="Arial"/>
          <w:sz w:val="19"/>
          <w:szCs w:val="19"/>
          <w:b w:val="1"/>
          <w:bCs w:val="1"/>
          <w:color w:val="auto"/>
        </w:rPr>
        <w:t xml:space="preserve"> </w:t>
      </w:r>
      <w:r>
        <w:rPr>
          <w:rFonts w:ascii="Arial" w:cs="Arial" w:eastAsia="Arial" w:hAnsi="Arial"/>
          <w:sz w:val="19"/>
          <w:szCs w:val="19"/>
          <w:color w:val="auto"/>
        </w:rPr>
        <w:t>meeting of the Board or such committee by means of conference telephone or other communications equipment by means of which all persons participating in the meeting can hear each other, and participation in a meeting pursuant to conference telephone or other communications equipment shall constitute presence in person at such meeting.</w:t>
      </w:r>
    </w:p>
    <w:p>
      <w:pPr>
        <w:spacing w:after="0" w:line="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2.6</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Quorum; Vote Required for Action</w:t>
      </w:r>
      <w:r>
        <w:rPr>
          <w:rFonts w:ascii="Arial" w:cs="Arial" w:eastAsia="Arial" w:hAnsi="Arial"/>
          <w:sz w:val="22"/>
          <w:szCs w:val="22"/>
          <w:b w:val="1"/>
          <w:bCs w:val="1"/>
          <w:color w:val="auto"/>
        </w:rPr>
        <w:t xml:space="preserve">. </w:t>
      </w:r>
      <w:r>
        <w:rPr>
          <w:rFonts w:ascii="Arial" w:cs="Arial" w:eastAsia="Arial" w:hAnsi="Arial"/>
          <w:sz w:val="22"/>
          <w:szCs w:val="22"/>
          <w:color w:val="auto"/>
        </w:rPr>
        <w:t>At all meetings of the Board, a majority of the Whole Board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constitute a quorum for the transaction of business. If a quorum shall fail to attend any meeting, a majority of those present may adjourn the meeting to another place, date or time. Except as otherwise provided herein or in the Certificate of Incorporation, or required by law, the vote of a majority of the directors present at a meeting at which a quorum is present shall be the act of the Board.</w:t>
      </w:r>
    </w:p>
    <w:p>
      <w:pPr>
        <w:spacing w:after="0" w:line="71" w:lineRule="exact"/>
        <w:rPr>
          <w:sz w:val="20"/>
          <w:szCs w:val="20"/>
          <w:color w:val="auto"/>
        </w:rPr>
      </w:pPr>
    </w:p>
    <w:p>
      <w:pPr>
        <w:jc w:val="both"/>
        <w:ind w:firstLine="648"/>
        <w:spacing w:after="0" w:line="309" w:lineRule="auto"/>
        <w:rPr>
          <w:sz w:val="20"/>
          <w:szCs w:val="20"/>
          <w:color w:val="auto"/>
        </w:rPr>
      </w:pPr>
      <w:r>
        <w:rPr>
          <w:rFonts w:ascii="Arial" w:cs="Arial" w:eastAsia="Arial" w:hAnsi="Arial"/>
          <w:sz w:val="19"/>
          <w:szCs w:val="19"/>
          <w:b w:val="1"/>
          <w:bCs w:val="1"/>
          <w:u w:val="single" w:color="auto"/>
          <w:color w:val="auto"/>
        </w:rPr>
        <w:t>Section 2.7</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Organization</w:t>
      </w:r>
      <w:r>
        <w:rPr>
          <w:rFonts w:ascii="Arial" w:cs="Arial" w:eastAsia="Arial" w:hAnsi="Arial"/>
          <w:sz w:val="19"/>
          <w:szCs w:val="19"/>
          <w:b w:val="1"/>
          <w:bCs w:val="1"/>
          <w:color w:val="auto"/>
        </w:rPr>
        <w:t xml:space="preserve">. </w:t>
      </w:r>
      <w:r>
        <w:rPr>
          <w:rFonts w:ascii="Arial" w:cs="Arial" w:eastAsia="Arial" w:hAnsi="Arial"/>
          <w:sz w:val="19"/>
          <w:szCs w:val="19"/>
          <w:color w:val="auto"/>
        </w:rPr>
        <w:t>Meetings of the Board shall be presided over by (a) the Chairperson of the Board, or (b) in</w:t>
      </w:r>
      <w:r>
        <w:rPr>
          <w:rFonts w:ascii="Arial" w:cs="Arial" w:eastAsia="Arial" w:hAnsi="Arial"/>
          <w:sz w:val="19"/>
          <w:szCs w:val="19"/>
          <w:b w:val="1"/>
          <w:bCs w:val="1"/>
          <w:color w:val="auto"/>
        </w:rPr>
        <w:t xml:space="preserve"> </w:t>
      </w:r>
      <w:r>
        <w:rPr>
          <w:rFonts w:ascii="Arial" w:cs="Arial" w:eastAsia="Arial" w:hAnsi="Arial"/>
          <w:sz w:val="19"/>
          <w:szCs w:val="19"/>
          <w:color w:val="auto"/>
        </w:rPr>
        <w:t>the absence of such person, the Lead Independent Director, or (c) in such person’s absence, by the Chief Executive Officer, or (d) in such person’s absence, by a chairperson chosen by the Board at the meeting. The Secretary shall act as secretary of the meeting, but in such person’s absence the chairperson of the meeting may appoint any person to act as secretary of the meeting.</w:t>
      </w:r>
    </w:p>
    <w:p>
      <w:pPr>
        <w:spacing w:after="0" w:line="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u w:val="single" w:color="auto"/>
          <w:color w:val="auto"/>
        </w:rPr>
        <w:t>Section 2.8</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Unanimous Action by Directors in Lieu of a Meeting</w:t>
      </w:r>
      <w:r>
        <w:rPr>
          <w:rFonts w:ascii="Arial" w:cs="Arial" w:eastAsia="Arial" w:hAnsi="Arial"/>
          <w:sz w:val="22"/>
          <w:szCs w:val="22"/>
          <w:b w:val="1"/>
          <w:bCs w:val="1"/>
          <w:color w:val="auto"/>
        </w:rPr>
        <w:t xml:space="preserve">. </w:t>
      </w:r>
      <w:r>
        <w:rPr>
          <w:rFonts w:ascii="Arial" w:cs="Arial" w:eastAsia="Arial" w:hAnsi="Arial"/>
          <w:sz w:val="22"/>
          <w:szCs w:val="22"/>
          <w:color w:val="auto"/>
        </w:rPr>
        <w:t>Any action required or permitted to be taken at</w:t>
      </w:r>
      <w:r>
        <w:rPr>
          <w:rFonts w:ascii="Arial" w:cs="Arial" w:eastAsia="Arial" w:hAnsi="Arial"/>
          <w:sz w:val="22"/>
          <w:szCs w:val="22"/>
          <w:b w:val="1"/>
          <w:bCs w:val="1"/>
          <w:color w:val="auto"/>
        </w:rPr>
        <w:t xml:space="preserve"> </w:t>
      </w:r>
      <w:r>
        <w:rPr>
          <w:rFonts w:ascii="Arial" w:cs="Arial" w:eastAsia="Arial" w:hAnsi="Arial"/>
          <w:sz w:val="22"/>
          <w:szCs w:val="22"/>
          <w:color w:val="auto"/>
        </w:rPr>
        <w:t>any meeting of the Board, or of any committee thereof, may be taken without a meeting if all members of the Board or such committee, as the case may be, consent thereto in writing or by electronic transmission. After an action is taken, the writing or writings or electronic transmission or transmissions shall be filed with the minutes of proceedings of the Board or committee, as applicable. Such filing shall be in paper form if the minutes are maintained in paper form and shall be in electronic form if the minutes are maintained in electronic form.</w:t>
      </w:r>
    </w:p>
    <w:p>
      <w:pPr>
        <w:spacing w:after="0" w:line="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auto"/>
        </w:rPr>
        <w:t>Section 2.9</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Powers</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by the Certificate of Incorporation or the DGCL, the business and</w:t>
      </w:r>
      <w:r>
        <w:rPr>
          <w:rFonts w:ascii="Arial" w:cs="Arial" w:eastAsia="Arial" w:hAnsi="Arial"/>
          <w:sz w:val="22"/>
          <w:szCs w:val="22"/>
          <w:b w:val="1"/>
          <w:bCs w:val="1"/>
          <w:color w:val="auto"/>
        </w:rPr>
        <w:t xml:space="preserve"> </w:t>
      </w:r>
      <w:r>
        <w:rPr>
          <w:rFonts w:ascii="Arial" w:cs="Arial" w:eastAsia="Arial" w:hAnsi="Arial"/>
          <w:sz w:val="22"/>
          <w:szCs w:val="22"/>
          <w:color w:val="auto"/>
        </w:rPr>
        <w:t>affairs of the Corporation shall be managed by or under the direction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- 18 -</w:t>
      </w:r>
    </w:p>
    <w:p>
      <w:pPr>
        <w:sectPr>
          <w:pgSz w:w="11900" w:h="16838" w:orient="portrait"/>
          <w:cols w:equalWidth="0" w:num="1">
            <w:col w:w="11240"/>
          </w:cols>
          <w:pgMar w:left="320" w:top="1395" w:right="339" w:bottom="1440" w:gutter="0" w:footer="0" w:header="0"/>
        </w:sectPr>
      </w:pPr>
    </w:p>
    <w:bookmarkStart w:id="122" w:name="page123"/>
    <w:bookmarkEnd w:id="122"/>
    <w:p>
      <w:pPr>
        <w:jc w:val="both"/>
        <w:ind w:right="20" w:firstLine="648"/>
        <w:spacing w:after="0" w:line="262" w:lineRule="auto"/>
        <w:rPr>
          <w:sz w:val="20"/>
          <w:szCs w:val="20"/>
          <w:color w:val="auto"/>
        </w:rPr>
      </w:pPr>
      <w:r>
        <w:rPr>
          <w:rFonts w:ascii="Arial" w:cs="Arial" w:eastAsia="Arial" w:hAnsi="Arial"/>
          <w:sz w:val="22"/>
          <w:szCs w:val="22"/>
          <w:b w:val="1"/>
          <w:bCs w:val="1"/>
          <w:u w:val="single" w:color="auto"/>
          <w:color w:val="auto"/>
        </w:rPr>
        <w:t>Section 2.10</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Compensation of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Members of the Board, as such, may receive, pursuant to a resolution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fees and other compensation for their services as directors, including without limitation their services as members of committees of the Board.</w:t>
      </w:r>
    </w:p>
    <w:p>
      <w:pPr>
        <w:spacing w:after="0" w:line="6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u w:val="single" w:color="auto"/>
          <w:color w:val="auto"/>
        </w:rPr>
        <w:t>Section 2.11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Each director shall maintain the confidentiality of, and shall not share with any third</w:t>
      </w:r>
      <w:r>
        <w:rPr>
          <w:rFonts w:ascii="Arial" w:cs="Arial" w:eastAsia="Arial" w:hAnsi="Arial"/>
          <w:sz w:val="19"/>
          <w:szCs w:val="19"/>
          <w:b w:val="1"/>
          <w:bCs w:val="1"/>
          <w:color w:val="auto"/>
        </w:rPr>
        <w:t xml:space="preserve"> </w:t>
      </w:r>
      <w:r>
        <w:rPr>
          <w:rFonts w:ascii="Arial" w:cs="Arial" w:eastAsia="Arial" w:hAnsi="Arial"/>
          <w:sz w:val="19"/>
          <w:szCs w:val="19"/>
          <w:color w:val="auto"/>
        </w:rPr>
        <w:t>party person or entity (including third parties that originally sponsored, nominated or designated such director (the “</w:t>
      </w:r>
      <w:r>
        <w:rPr>
          <w:rFonts w:ascii="Arial" w:cs="Arial" w:eastAsia="Arial" w:hAnsi="Arial"/>
          <w:sz w:val="19"/>
          <w:szCs w:val="19"/>
          <w:b w:val="1"/>
          <w:bCs w:val="1"/>
          <w:i w:val="1"/>
          <w:iCs w:val="1"/>
          <w:color w:val="auto"/>
        </w:rPr>
        <w:t>Sponsoring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any non-public information learned in their capacities as directors, including communications among Board members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their capacities as directors. The Board may adopt a board confidentiality policy further implementing and interpreting this bylaw (a “</w:t>
      </w:r>
      <w:r>
        <w:rPr>
          <w:rFonts w:ascii="Arial" w:cs="Arial" w:eastAsia="Arial" w:hAnsi="Arial"/>
          <w:sz w:val="19"/>
          <w:szCs w:val="19"/>
          <w:b w:val="1"/>
          <w:bCs w:val="1"/>
          <w:i w:val="1"/>
          <w:iCs w:val="1"/>
          <w:color w:val="auto"/>
        </w:rPr>
        <w:t>Board Confidentiality Policy</w:t>
      </w:r>
      <w:r>
        <w:rPr>
          <w:rFonts w:ascii="Arial" w:cs="Arial" w:eastAsia="Arial" w:hAnsi="Arial"/>
          <w:sz w:val="19"/>
          <w:szCs w:val="19"/>
          <w:color w:val="auto"/>
        </w:rPr>
        <w:t>”). All directors are required to comply with this bylaw and any such Board Confidentiality Policy unless such director or the Sponsoring Party for such director has entered into a specific written agreement with the Corporation, in either case as approved by the Board, providing otherwise with respect to such confidential information.</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 COMMITTEES</w:t>
      </w:r>
    </w:p>
    <w:p>
      <w:pPr>
        <w:spacing w:after="0" w:line="1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b w:val="1"/>
          <w:bCs w:val="1"/>
          <w:u w:val="single" w:color="auto"/>
          <w:color w:val="auto"/>
        </w:rPr>
        <w:t>Section 3.1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Committees</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may designate one or more committees, each committee to consist of one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directors of the Corporation. The Board may designate one or more directors as alternate members of any committee, who may replace any absent or disqualified member at any meeting of the committee. In the absence or disqualification of a member of the committee, the member or members thereof present at any meeting of such committee who are not disqualified from voting, whether or not such member or members constitute a quorum, may unanimously appoint another member of the Board to act at the meeting in place of any such absent or disqualified member. Any such committee, to the extent provided in a resolution of the Board,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in reference to the following matters: (a) approving, adopting, or recommending to the stockholders any action or matter (other than the election or removal of members of the Board) expressly required by the DGCL to be submitted to stockholders for approval or (b) adopting, amending or repealing any bylaw of the Corporation.</w:t>
      </w:r>
    </w:p>
    <w:p>
      <w:pPr>
        <w:spacing w:after="0" w:line="5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u w:val="single" w:color="auto"/>
          <w:color w:val="auto"/>
        </w:rPr>
        <w:t>Section 3.2</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Committee Rules</w:t>
      </w:r>
      <w:r>
        <w:rPr>
          <w:rFonts w:ascii="Arial" w:cs="Arial" w:eastAsia="Arial" w:hAnsi="Arial"/>
          <w:sz w:val="19"/>
          <w:szCs w:val="19"/>
          <w:b w:val="1"/>
          <w:bCs w:val="1"/>
          <w:color w:val="auto"/>
        </w:rPr>
        <w:t xml:space="preserve">. </w:t>
      </w:r>
      <w:r>
        <w:rPr>
          <w:rFonts w:ascii="Arial" w:cs="Arial" w:eastAsia="Arial" w:hAnsi="Arial"/>
          <w:sz w:val="19"/>
          <w:szCs w:val="19"/>
          <w:color w:val="auto"/>
        </w:rPr>
        <w:t>Each committee shall keep records of its proceedings and make such reports as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may from time to time request. Unless the Board otherwise provides, each committee designated by the Board may make, alter and repeal rules for the conduct of its business. In the absence of such rules, each committee shall conduct its business in the same manner as the Board conducts its business pursuant to Article II of these Bylaws. Except as otherwise provided in the Certificate of Incorporation, these Bylaws or the resolution of the Board designating the committee, any committee may create one or more subcommittees, each subcommittee to consist of one or more members of the committee, and may delegate to any such subcommittee any or all of the powers and authority of the committee.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 OFFICERS; CHAIRPERSON; LEAD INDEPENDENT DIRECTOR</w:t>
      </w:r>
    </w:p>
    <w:p>
      <w:pPr>
        <w:spacing w:after="0" w:line="11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u w:val="single" w:color="auto"/>
          <w:color w:val="auto"/>
        </w:rPr>
        <w:t>Section 4.1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Generally</w:t>
      </w:r>
      <w:r>
        <w:rPr>
          <w:rFonts w:ascii="Arial" w:cs="Arial" w:eastAsia="Arial" w:hAnsi="Arial"/>
          <w:sz w:val="19"/>
          <w:szCs w:val="19"/>
          <w:b w:val="1"/>
          <w:bCs w:val="1"/>
          <w:color w:val="auto"/>
        </w:rPr>
        <w:t xml:space="preserve">. </w:t>
      </w:r>
      <w:r>
        <w:rPr>
          <w:rFonts w:ascii="Arial" w:cs="Arial" w:eastAsia="Arial" w:hAnsi="Arial"/>
          <w:sz w:val="19"/>
          <w:szCs w:val="19"/>
          <w:color w:val="auto"/>
        </w:rPr>
        <w:t>The officers of the Corporation shall consist of a Chief Executive Officer (who may be the</w:t>
      </w:r>
      <w:r>
        <w:rPr>
          <w:rFonts w:ascii="Arial" w:cs="Arial" w:eastAsia="Arial" w:hAnsi="Arial"/>
          <w:sz w:val="19"/>
          <w:szCs w:val="19"/>
          <w:b w:val="1"/>
          <w:bCs w:val="1"/>
          <w:color w:val="auto"/>
        </w:rPr>
        <w:t xml:space="preserve"> </w:t>
      </w:r>
      <w:r>
        <w:rPr>
          <w:rFonts w:ascii="Arial" w:cs="Arial" w:eastAsia="Arial" w:hAnsi="Arial"/>
          <w:sz w:val="19"/>
          <w:szCs w:val="19"/>
          <w:color w:val="auto"/>
        </w:rPr>
        <w:t>Chairperson of the Board or the President), a President, a Secretary and a Treasurer and may consist of such other officers, including, without limitation, a Chief Financial Officer, and one or more Vice Presidents, as may from time to time be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- 19 -</w:t>
      </w:r>
    </w:p>
    <w:p>
      <w:pPr>
        <w:sectPr>
          <w:pgSz w:w="11900" w:h="16838" w:orient="portrait"/>
          <w:cols w:equalWidth="0" w:num="1">
            <w:col w:w="11240"/>
          </w:cols>
          <w:pgMar w:left="320" w:top="1395" w:right="339" w:bottom="1440" w:gutter="0" w:footer="0" w:header="0"/>
        </w:sectPr>
      </w:pPr>
    </w:p>
    <w:bookmarkStart w:id="123" w:name="page124"/>
    <w:bookmarkEnd w:id="123"/>
    <w:p>
      <w:pPr>
        <w:jc w:val="both"/>
        <w:spacing w:after="0" w:line="290" w:lineRule="auto"/>
        <w:rPr>
          <w:sz w:val="20"/>
          <w:szCs w:val="20"/>
          <w:color w:val="auto"/>
        </w:rPr>
      </w:pPr>
      <w:r>
        <w:rPr>
          <w:rFonts w:ascii="Arial" w:cs="Arial" w:eastAsia="Arial" w:hAnsi="Arial"/>
          <w:sz w:val="19"/>
          <w:szCs w:val="19"/>
          <w:color w:val="auto"/>
        </w:rPr>
        <w:t xml:space="preserve">by the Board. All officers shall be elected by the Board;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the Board may empower the Chief Executive Officer of the Corporation to appoint any officer other than the Chief Executive Officer, the President, the Chief Financial Officer or the Treasurer. Except as otherwise provided by law, by the Certificate of Incorporation or these Bylaws, each officer shall hold office until such officer’s successor is duly elected and qualified or until such officer’s earlier resignation, death, disqualification or removal. Any number of offices may be held by the same person. Any officer may resign by delivering a resignation in writing or by electronic transmission to the Corporation at its principal office or to the Chairperson of the Board, the Chief Executive Officer, or the Secretary. Such resignation shall be effective upon delivery unless it is specified to be effective at some later time or upon the happening of some later event. Any vacancy occurring in any office of the Corporation by death, resignation, removal or otherwise may be filled by the Board and the Board may, in its discretion, leave unfilled, for such period as it may determine, any offices. Each such successor shall hold office for the unexpired term of such officer’s predecessor and until a successor is duly elected and qualified or until such officer’s earlier resignation, death, disqualification or removal.</w:t>
      </w:r>
    </w:p>
    <w:p>
      <w:pPr>
        <w:spacing w:after="0" w:line="4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u w:val="single" w:color="auto"/>
          <w:color w:val="auto"/>
        </w:rPr>
        <w:t>Section 4.2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Chief Executive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control of the Board and such supervisory powers, if any, as may</w:t>
      </w:r>
      <w:r>
        <w:rPr>
          <w:rFonts w:ascii="Arial" w:cs="Arial" w:eastAsia="Arial" w:hAnsi="Arial"/>
          <w:sz w:val="22"/>
          <w:szCs w:val="22"/>
          <w:b w:val="1"/>
          <w:bCs w:val="1"/>
          <w:color w:val="auto"/>
        </w:rPr>
        <w:t xml:space="preserve"> </w:t>
      </w:r>
      <w:r>
        <w:rPr>
          <w:rFonts w:ascii="Arial" w:cs="Arial" w:eastAsia="Arial" w:hAnsi="Arial"/>
          <w:sz w:val="22"/>
          <w:szCs w:val="22"/>
          <w:color w:val="auto"/>
        </w:rPr>
        <w:t>be given by the Board, the powers and duties of the Chief Executive Officer of the Corporation are:</w:t>
      </w:r>
    </w:p>
    <w:p>
      <w:pPr>
        <w:spacing w:after="0" w:line="46" w:lineRule="exact"/>
        <w:rPr>
          <w:sz w:val="20"/>
          <w:szCs w:val="20"/>
          <w:color w:val="auto"/>
        </w:rPr>
      </w:pPr>
    </w:p>
    <w:p>
      <w:pPr>
        <w:ind w:left="660" w:firstLine="644"/>
        <w:spacing w:after="0" w:line="263" w:lineRule="auto"/>
        <w:tabs>
          <w:tab w:leader="none" w:pos="179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act as the general manager and, subject to the control of the Board, to have general supervision, direction and control of the business and affairs of the Corporation;</w:t>
      </w:r>
    </w:p>
    <w:p>
      <w:pPr>
        <w:spacing w:after="0" w:line="66" w:lineRule="exact"/>
        <w:rPr>
          <w:rFonts w:ascii="Arial" w:cs="Arial" w:eastAsia="Arial" w:hAnsi="Arial"/>
          <w:sz w:val="22"/>
          <w:szCs w:val="22"/>
          <w:color w:val="auto"/>
        </w:rPr>
      </w:pPr>
    </w:p>
    <w:p>
      <w:pPr>
        <w:ind w:left="1780" w:hanging="476"/>
        <w:spacing w:after="0"/>
        <w:tabs>
          <w:tab w:leader="none" w:pos="17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subject to Section 1.6 of these Bylaws, to preside at all meetings of the stockholders;</w:t>
      </w:r>
    </w:p>
    <w:p>
      <w:pPr>
        <w:spacing w:after="0" w:line="111" w:lineRule="exact"/>
        <w:rPr>
          <w:rFonts w:ascii="Arial" w:cs="Arial" w:eastAsia="Arial" w:hAnsi="Arial"/>
          <w:sz w:val="22"/>
          <w:szCs w:val="22"/>
          <w:color w:val="auto"/>
        </w:rPr>
      </w:pPr>
    </w:p>
    <w:p>
      <w:pPr>
        <w:ind w:left="660" w:firstLine="644"/>
        <w:spacing w:after="0" w:line="348" w:lineRule="auto"/>
        <w:tabs>
          <w:tab w:leader="none" w:pos="1811" w:val="left"/>
        </w:tabs>
        <w:numPr>
          <w:ilvl w:val="0"/>
          <w:numId w:val="49"/>
        </w:numPr>
        <w:rPr>
          <w:rFonts w:ascii="Arial" w:cs="Arial" w:eastAsia="Arial" w:hAnsi="Arial"/>
          <w:sz w:val="19"/>
          <w:szCs w:val="19"/>
          <w:color w:val="auto"/>
        </w:rPr>
      </w:pPr>
      <w:r>
        <w:rPr>
          <w:rFonts w:ascii="Arial" w:cs="Arial" w:eastAsia="Arial" w:hAnsi="Arial"/>
          <w:sz w:val="19"/>
          <w:szCs w:val="19"/>
          <w:color w:val="auto"/>
        </w:rPr>
        <w:t>subject to Section 1.2 of these Bylaws, to call special meetings of the stockholders to be held at such times and, subject to the limitations prescribed by law or by these Bylaws, at such places as he or she shall deem proper; and</w:t>
      </w:r>
    </w:p>
    <w:p>
      <w:pPr>
        <w:jc w:val="both"/>
        <w:ind w:left="660" w:firstLine="644"/>
        <w:spacing w:after="0" w:line="249" w:lineRule="auto"/>
        <w:tabs>
          <w:tab w:leader="none" w:pos="202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to sign certificates for shares of stock of the Corporation (if any); and, subject to the direction of the Board, to have general charge of the property of the Corporation and to supervise and control all officers, agents and employees of the Corporation.</w:t>
      </w:r>
    </w:p>
    <w:p>
      <w:pPr>
        <w:spacing w:after="0" w:line="8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person holding the office of President shall be the Chief Executive Officer of the Corporation unless the Board shall designate another officer to be the Chief Executive Officer.</w:t>
      </w:r>
    </w:p>
    <w:p>
      <w:pPr>
        <w:spacing w:after="0" w:line="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4.3</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Chairperson of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provisions of Section 2.7 of these Bylaws, the Chairperson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shall have the power to preside at all meetings of the Board and shall have such other powers and duties as provided in these Bylaws and as the Board may from time to time prescribe. The Chairperson of the Board may or may not be an officer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- 20 -</w:t>
      </w:r>
    </w:p>
    <w:p>
      <w:pPr>
        <w:sectPr>
          <w:pgSz w:w="11900" w:h="16838" w:orient="portrait"/>
          <w:cols w:equalWidth="0" w:num="1">
            <w:col w:w="11240"/>
          </w:cols>
          <w:pgMar w:left="320" w:top="1401" w:right="339" w:bottom="1440" w:gutter="0" w:footer="0" w:header="0"/>
        </w:sectPr>
      </w:pPr>
    </w:p>
    <w:bookmarkStart w:id="124" w:name="page125"/>
    <w:bookmarkEnd w:id="124"/>
    <w:p>
      <w:pPr>
        <w:jc w:val="both"/>
        <w:ind w:firstLine="648"/>
        <w:spacing w:after="0" w:line="298" w:lineRule="auto"/>
        <w:rPr>
          <w:sz w:val="20"/>
          <w:szCs w:val="20"/>
          <w:color w:val="auto"/>
        </w:rPr>
      </w:pPr>
      <w:r>
        <w:rPr>
          <w:rFonts w:ascii="Arial" w:cs="Arial" w:eastAsia="Arial" w:hAnsi="Arial"/>
          <w:sz w:val="19"/>
          <w:szCs w:val="19"/>
          <w:b w:val="1"/>
          <w:bCs w:val="1"/>
          <w:u w:val="single" w:color="auto"/>
          <w:color w:val="auto"/>
        </w:rPr>
        <w:t>Section 4.4</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Lead Independent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may, in its discretion, elect a lead independent director from</w:t>
      </w:r>
      <w:r>
        <w:rPr>
          <w:rFonts w:ascii="Arial" w:cs="Arial" w:eastAsia="Arial" w:hAnsi="Arial"/>
          <w:sz w:val="19"/>
          <w:szCs w:val="19"/>
          <w:b w:val="1"/>
          <w:bCs w:val="1"/>
          <w:color w:val="auto"/>
        </w:rPr>
        <w:t xml:space="preserve"> </w:t>
      </w:r>
      <w:r>
        <w:rPr>
          <w:rFonts w:ascii="Arial" w:cs="Arial" w:eastAsia="Arial" w:hAnsi="Arial"/>
          <w:sz w:val="19"/>
          <w:szCs w:val="19"/>
          <w:color w:val="auto"/>
        </w:rPr>
        <w:t>among its members that are Independent Directors (as defined below) (such director, the “</w:t>
      </w:r>
      <w:r>
        <w:rPr>
          <w:rFonts w:ascii="Arial" w:cs="Arial" w:eastAsia="Arial" w:hAnsi="Arial"/>
          <w:sz w:val="19"/>
          <w:szCs w:val="19"/>
          <w:b w:val="1"/>
          <w:bCs w:val="1"/>
          <w:i w:val="1"/>
          <w:iCs w:val="1"/>
          <w:color w:val="auto"/>
        </w:rPr>
        <w:t>Lead Independent Director</w:t>
      </w:r>
      <w:r>
        <w:rPr>
          <w:rFonts w:ascii="Arial" w:cs="Arial" w:eastAsia="Arial" w:hAnsi="Arial"/>
          <w:sz w:val="19"/>
          <w:szCs w:val="19"/>
          <w:color w:val="auto"/>
        </w:rPr>
        <w:t>”). The Lead Independent Director shall preside at all meetings at which the Chairperson of the Board is not present and shall exercise such other powers and duties as may from time to time be assigned to him or her by the Board or as prescribed by these Bylaws. For purposes of these Bylaws, “</w:t>
      </w:r>
      <w:r>
        <w:rPr>
          <w:rFonts w:ascii="Arial" w:cs="Arial" w:eastAsia="Arial" w:hAnsi="Arial"/>
          <w:sz w:val="19"/>
          <w:szCs w:val="19"/>
          <w:b w:val="1"/>
          <w:bCs w:val="1"/>
          <w:i w:val="1"/>
          <w:iCs w:val="1"/>
          <w:color w:val="auto"/>
        </w:rPr>
        <w:t>Independent Director</w:t>
      </w:r>
      <w:r>
        <w:rPr>
          <w:rFonts w:ascii="Arial" w:cs="Arial" w:eastAsia="Arial" w:hAnsi="Arial"/>
          <w:sz w:val="19"/>
          <w:szCs w:val="19"/>
          <w:color w:val="auto"/>
        </w:rPr>
        <w:t>” has the meaning ascribed to such term under the rules of the exchange upon which the Corporation’s Class A Common Stock is primarily traded.</w:t>
      </w:r>
    </w:p>
    <w:p>
      <w:pPr>
        <w:spacing w:after="0" w:line="4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b w:val="1"/>
          <w:bCs w:val="1"/>
          <w:u w:val="single" w:color="auto"/>
          <w:color w:val="auto"/>
        </w:rPr>
        <w:t>Section 4.5</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President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person holding the office of Chief Executive Officer shall be the President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unless the Board shall have 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4.6</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Chief Financial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The person holding the office of Chief Financial Officer shall be the Treasurer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unless the Board shall have designated another officer as the Treasurer of the Corporation. Subject to the direction of the Board and the Chief Executive Officer, the Chief Financial Officer shall perform all duties and have all powers that are commonly incident to the office of Chief Financial Officer, or as the Board or the Chief Executive Officer may from time to time prescribe.</w:t>
      </w:r>
    </w:p>
    <w:p>
      <w:pPr>
        <w:spacing w:after="0" w:line="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4.7</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Treasurer</w:t>
      </w:r>
      <w:r>
        <w:rPr>
          <w:rFonts w:ascii="Arial" w:cs="Arial" w:eastAsia="Arial" w:hAnsi="Arial"/>
          <w:sz w:val="22"/>
          <w:szCs w:val="22"/>
          <w:b w:val="1"/>
          <w:bCs w:val="1"/>
          <w:color w:val="auto"/>
        </w:rPr>
        <w:t xml:space="preserve">. </w:t>
      </w:r>
      <w:r>
        <w:rPr>
          <w:rFonts w:ascii="Arial" w:cs="Arial" w:eastAsia="Arial" w:hAnsi="Arial"/>
          <w:sz w:val="22"/>
          <w:szCs w:val="22"/>
          <w:color w:val="auto"/>
        </w:rPr>
        <w:t>The person holding the office of Treasurer shall have custody of all monies and securities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Corporation. The Treasurer shall make such disbursements of the funds of the Corporation as are authorized and shall render from time to time an account of all such transactions. The Treasurer shall also perform such other duties and have such other powers as are commonly incident to the office of Treasurer, or as the Board or the Chief Executive Officer may from time to time prescribe.</w:t>
      </w:r>
    </w:p>
    <w:p>
      <w:pPr>
        <w:spacing w:after="0" w:line="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b w:val="1"/>
          <w:bCs w:val="1"/>
          <w:u w:val="single" w:color="auto"/>
          <w:color w:val="auto"/>
        </w:rPr>
        <w:t>Section 4.8</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Vice President</w:t>
      </w:r>
      <w:r>
        <w:rPr>
          <w:rFonts w:ascii="Arial" w:cs="Arial" w:eastAsia="Arial" w:hAnsi="Arial"/>
          <w:sz w:val="21"/>
          <w:szCs w:val="21"/>
          <w:b w:val="1"/>
          <w:bCs w:val="1"/>
          <w:color w:val="auto"/>
        </w:rPr>
        <w:t xml:space="preserve">. </w:t>
      </w:r>
      <w:r>
        <w:rPr>
          <w:rFonts w:ascii="Arial" w:cs="Arial" w:eastAsia="Arial" w:hAnsi="Arial"/>
          <w:sz w:val="21"/>
          <w:szCs w:val="21"/>
          <w:color w:val="auto"/>
        </w:rPr>
        <w:t>Each Vice President shall have all such powers and duties as are commonly incident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office of Vice President or that are delegated to him or her by the Board or the Chief Executive Officer. A Vice President may be designated by the Board to perform the duties and exercise the powers of the Chief Executive Officer or President in the event of the Chief Executive Officer’s or President’s absence or disability.</w:t>
      </w:r>
    </w:p>
    <w:p>
      <w:pPr>
        <w:spacing w:after="0" w:line="5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u w:val="single" w:color="auto"/>
          <w:color w:val="auto"/>
        </w:rPr>
        <w:t>Section 4.9</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Secretary</w:t>
      </w:r>
      <w:r>
        <w:rPr>
          <w:rFonts w:ascii="Arial" w:cs="Arial" w:eastAsia="Arial" w:hAnsi="Arial"/>
          <w:sz w:val="19"/>
          <w:szCs w:val="19"/>
          <w:b w:val="1"/>
          <w:bCs w:val="1"/>
          <w:color w:val="auto"/>
        </w:rPr>
        <w:t xml:space="preserve">. </w:t>
      </w:r>
      <w:r>
        <w:rPr>
          <w:rFonts w:ascii="Arial" w:cs="Arial" w:eastAsia="Arial" w:hAnsi="Arial"/>
          <w:sz w:val="19"/>
          <w:szCs w:val="19"/>
          <w:color w:val="auto"/>
        </w:rPr>
        <w:t>The Secretary shall issue or cause to be issued all authorized notices for, and shall keep, or</w:t>
      </w:r>
      <w:r>
        <w:rPr>
          <w:rFonts w:ascii="Arial" w:cs="Arial" w:eastAsia="Arial" w:hAnsi="Arial"/>
          <w:sz w:val="19"/>
          <w:szCs w:val="19"/>
          <w:b w:val="1"/>
          <w:bCs w:val="1"/>
          <w:color w:val="auto"/>
        </w:rPr>
        <w:t xml:space="preserve"> </w:t>
      </w:r>
      <w:r>
        <w:rPr>
          <w:rFonts w:ascii="Arial" w:cs="Arial" w:eastAsia="Arial" w:hAnsi="Arial"/>
          <w:sz w:val="19"/>
          <w:szCs w:val="19"/>
          <w:color w:val="auto"/>
        </w:rPr>
        <w:t>cause to be kept, minutes of all meetings of the stockholders and the Board. The Secretary shall have charge of the corporate minute books and similar records and shall perform such other duties and have such other powers as are commonly incident to the office of Secretary, or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- 21 -</w:t>
      </w:r>
    </w:p>
    <w:p>
      <w:pPr>
        <w:sectPr>
          <w:pgSz w:w="11900" w:h="16838" w:orient="portrait"/>
          <w:cols w:equalWidth="0" w:num="1">
            <w:col w:w="11240"/>
          </w:cols>
          <w:pgMar w:left="320" w:top="1395" w:right="339" w:bottom="1440" w:gutter="0" w:footer="0" w:header="0"/>
        </w:sectPr>
      </w:pPr>
    </w:p>
    <w:bookmarkStart w:id="125" w:name="page126"/>
    <w:bookmarkEnd w:id="125"/>
    <w:p>
      <w:pPr>
        <w:jc w:val="both"/>
        <w:ind w:right="20" w:firstLine="648"/>
        <w:spacing w:after="0" w:line="307" w:lineRule="auto"/>
        <w:rPr>
          <w:sz w:val="20"/>
          <w:szCs w:val="20"/>
          <w:color w:val="auto"/>
        </w:rPr>
      </w:pPr>
      <w:r>
        <w:rPr>
          <w:rFonts w:ascii="Arial" w:cs="Arial" w:eastAsia="Arial" w:hAnsi="Arial"/>
          <w:sz w:val="21"/>
          <w:szCs w:val="21"/>
          <w:b w:val="1"/>
          <w:bCs w:val="1"/>
          <w:u w:val="single" w:color="auto"/>
          <w:color w:val="auto"/>
        </w:rPr>
        <w:t>Section 4.10</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Delegation of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may from time to time delegate the powers or duties of any officer</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Corporation to any other officers or agents of the Corporation, notwithstanding any provision hereof.</w:t>
      </w:r>
    </w:p>
    <w:p>
      <w:pPr>
        <w:spacing w:after="0" w:line="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u w:val="single" w:color="auto"/>
          <w:color w:val="auto"/>
        </w:rPr>
        <w:t>Section 4.11</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Removal</w:t>
      </w:r>
      <w:r>
        <w:rPr>
          <w:rFonts w:ascii="Arial" w:cs="Arial" w:eastAsia="Arial" w:hAnsi="Arial"/>
          <w:sz w:val="21"/>
          <w:szCs w:val="21"/>
          <w:b w:val="1"/>
          <w:bCs w:val="1"/>
          <w:color w:val="auto"/>
        </w:rPr>
        <w:t xml:space="preserve">. </w:t>
      </w:r>
      <w:r>
        <w:rPr>
          <w:rFonts w:ascii="Arial" w:cs="Arial" w:eastAsia="Arial" w:hAnsi="Arial"/>
          <w:sz w:val="21"/>
          <w:szCs w:val="21"/>
          <w:color w:val="auto"/>
        </w:rPr>
        <w:t>Any officer of the Corporation shall serve at the pleasure of the Board and may be removed at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time, with or without cause, by the Board;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that if the Board has empowered the Chief Executive Officer to appoint any officer of the Corporation, then such officer may also be removed by the Chief Executive Officer. Such removal shall be without prejudice to the contractual rights of such officer, if any, with the Corporation.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 STOCK</w:t>
      </w:r>
    </w:p>
    <w:p>
      <w:pPr>
        <w:spacing w:after="0" w:line="11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u w:val="single" w:color="auto"/>
          <w:color w:val="auto"/>
        </w:rPr>
        <w:t>Section 5.1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Certificates; Uncertificated Shares</w:t>
      </w:r>
      <w:r>
        <w:rPr>
          <w:rFonts w:ascii="Arial" w:cs="Arial" w:eastAsia="Arial" w:hAnsi="Arial"/>
          <w:sz w:val="19"/>
          <w:szCs w:val="19"/>
          <w:b w:val="1"/>
          <w:bCs w:val="1"/>
          <w:color w:val="auto"/>
        </w:rPr>
        <w:t xml:space="preserve">. </w:t>
      </w:r>
      <w:r>
        <w:rPr>
          <w:rFonts w:ascii="Arial" w:cs="Arial" w:eastAsia="Arial" w:hAnsi="Arial"/>
          <w:sz w:val="19"/>
          <w:szCs w:val="19"/>
          <w:color w:val="auto"/>
        </w:rPr>
        <w:t>The shares of capital stock of the Corporation shall be uncertificated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shares;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xml:space="preserve">, that the resolution of the Board that the shares of capital stock of the Corporation shall be uncertificated shares shall not apply to shares represented by a certificate until such certificate is surrendered to the Corporation (or the transfer agent or registrar, as the case may be). Notwithstanding the foregoing, the Board may provide </w:t>
      </w:r>
      <w:r>
        <w:rPr>
          <w:rFonts w:ascii="Arial" w:cs="Arial" w:eastAsia="Arial" w:hAnsi="Arial"/>
          <w:sz w:val="19"/>
          <w:szCs w:val="19"/>
          <w:color w:val="222222"/>
        </w:rPr>
        <w:t>by resolution or</w:t>
      </w:r>
      <w:r>
        <w:rPr>
          <w:rFonts w:ascii="Arial" w:cs="Arial" w:eastAsia="Arial" w:hAnsi="Arial"/>
          <w:sz w:val="19"/>
          <w:szCs w:val="19"/>
          <w:color w:val="auto"/>
        </w:rPr>
        <w:t xml:space="preserve"> </w:t>
      </w:r>
      <w:r>
        <w:rPr>
          <w:rFonts w:ascii="Arial" w:cs="Arial" w:eastAsia="Arial" w:hAnsi="Arial"/>
          <w:sz w:val="19"/>
          <w:szCs w:val="19"/>
          <w:color w:val="222222"/>
        </w:rPr>
        <w:t xml:space="preserve">resolutions that some or all of any or all classes or series of its stock shall be certificated shares. </w:t>
      </w:r>
      <w:r>
        <w:rPr>
          <w:rFonts w:ascii="Arial" w:cs="Arial" w:eastAsia="Arial" w:hAnsi="Arial"/>
          <w:sz w:val="19"/>
          <w:szCs w:val="19"/>
          <w:color w:val="000000"/>
        </w:rPr>
        <w:t>Every holder of stock</w:t>
      </w:r>
      <w:r>
        <w:rPr>
          <w:rFonts w:ascii="Arial" w:cs="Arial" w:eastAsia="Arial" w:hAnsi="Arial"/>
          <w:sz w:val="19"/>
          <w:szCs w:val="19"/>
          <w:color w:val="222222"/>
        </w:rPr>
        <w:t xml:space="preserve"> </w:t>
      </w:r>
      <w:r>
        <w:rPr>
          <w:rFonts w:ascii="Arial" w:cs="Arial" w:eastAsia="Arial" w:hAnsi="Arial"/>
          <w:sz w:val="19"/>
          <w:szCs w:val="19"/>
          <w:color w:val="000000"/>
        </w:rPr>
        <w:t>represented by certificates shall be entitled to have a certificate signed by, or in the name of the Corporation, by any two authorized officers of the Corporation (it being understood that each of the Chairperson of the Board, the Vice-Chairperson of the Board, the Chief Executive Officer, the President, any Vice President, the Treasurer, any Assistant Treasurer, the Secretary, and any Assistant Secretary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an officer, transfer agent or registrar at the date of issue.</w:t>
      </w:r>
    </w:p>
    <w:p>
      <w:pPr>
        <w:spacing w:after="0" w:line="3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b w:val="1"/>
          <w:bCs w:val="1"/>
          <w:u w:val="single" w:color="auto"/>
          <w:color w:val="auto"/>
        </w:rPr>
        <w:t>Section 5.2</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Lost, Stolen or Destroyed Stock Certificates; Issuance of New Certificates or Uncertificated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may issue a new certificate of stock or uncertificated shares in the place of any certificate previously issued by it, alleged to have been lost, stolen or destroyed, upon the making of an affidavit of that fact by the person claiming the certificate of stock to be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6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u w:val="single" w:color="auto"/>
          <w:color w:val="auto"/>
        </w:rPr>
        <w:t>Section 5.3</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Other Regulations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applicable law, the Certificate of Incorporation and these Bylaws, the issue,</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conversion and registration of shares represented by certificates and of uncertificated shares shall be governed by such other regulations as the Board may establish.</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 INDEMNIFICATION</w:t>
      </w:r>
    </w:p>
    <w:p>
      <w:pPr>
        <w:spacing w:after="0" w:line="1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auto"/>
        </w:rPr>
        <w:t>Section 6.1</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Indemnification of Officers and Directors</w:t>
      </w:r>
      <w:r>
        <w:rPr>
          <w:rFonts w:ascii="Arial" w:cs="Arial" w:eastAsia="Arial" w:hAnsi="Arial"/>
          <w:sz w:val="22"/>
          <w:szCs w:val="22"/>
          <w:b w:val="1"/>
          <w:bCs w:val="1"/>
          <w:color w:val="auto"/>
        </w:rPr>
        <w:t xml:space="preserve">. </w:t>
      </w:r>
      <w:r>
        <w:rPr>
          <w:rFonts w:ascii="Arial" w:cs="Arial" w:eastAsia="Arial" w:hAnsi="Arial"/>
          <w:sz w:val="22"/>
          <w:szCs w:val="22"/>
          <w:color w:val="auto"/>
        </w:rPr>
        <w:t>Each person who was or is made a party to, or is threatened to</w:t>
      </w:r>
      <w:r>
        <w:rPr>
          <w:rFonts w:ascii="Arial" w:cs="Arial" w:eastAsia="Arial" w:hAnsi="Arial"/>
          <w:sz w:val="22"/>
          <w:szCs w:val="22"/>
          <w:b w:val="1"/>
          <w:bCs w:val="1"/>
          <w:color w:val="auto"/>
        </w:rPr>
        <w:t xml:space="preserve"> </w:t>
      </w:r>
      <w:r>
        <w:rPr>
          <w:rFonts w:ascii="Arial" w:cs="Arial" w:eastAsia="Arial" w:hAnsi="Arial"/>
          <w:sz w:val="22"/>
          <w:szCs w:val="22"/>
          <w:color w:val="auto"/>
        </w:rPr>
        <w:t>be made a party to, or is involved in any threatened, pending or completed action, suit or proceeding, whether civil, criminal, administrative, legislative,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- 22 -</w:t>
      </w:r>
    </w:p>
    <w:p>
      <w:pPr>
        <w:sectPr>
          <w:pgSz w:w="11900" w:h="16838" w:orient="portrait"/>
          <w:cols w:equalWidth="0" w:num="1">
            <w:col w:w="11240"/>
          </w:cols>
          <w:pgMar w:left="320" w:top="1395" w:right="339" w:bottom="1440" w:gutter="0" w:footer="0" w:header="0"/>
        </w:sectPr>
      </w:pPr>
    </w:p>
    <w:bookmarkStart w:id="126" w:name="page127"/>
    <w:bookmarkEnd w:id="126"/>
    <w:p>
      <w:pPr>
        <w:jc w:val="both"/>
        <w:spacing w:after="0" w:line="288" w:lineRule="auto"/>
        <w:rPr>
          <w:sz w:val="20"/>
          <w:szCs w:val="20"/>
          <w:color w:val="auto"/>
        </w:rPr>
      </w:pPr>
      <w:r>
        <w:rPr>
          <w:rFonts w:ascii="Arial" w:cs="Arial" w:eastAsia="Arial" w:hAnsi="Arial"/>
          <w:sz w:val="19"/>
          <w:szCs w:val="19"/>
          <w:color w:val="auto"/>
        </w:rPr>
        <w:t>investigative or any other type whatsoever, preliminary, informal or formal, including any arbitration or other alternative dispute resolution (including but not limited to giving testimony or responding to a subpoena) and including any appeal of any of the foregoing (a “</w:t>
      </w:r>
      <w:r>
        <w:rPr>
          <w:rFonts w:ascii="Arial" w:cs="Arial" w:eastAsia="Arial" w:hAnsi="Arial"/>
          <w:sz w:val="19"/>
          <w:szCs w:val="19"/>
          <w:b w:val="1"/>
          <w:bCs w:val="1"/>
          <w:i w:val="1"/>
          <w:iCs w:val="1"/>
          <w:color w:val="auto"/>
        </w:rPr>
        <w:t>Proceeding</w:t>
      </w:r>
      <w:r>
        <w:rPr>
          <w:rFonts w:ascii="Arial" w:cs="Arial" w:eastAsia="Arial" w:hAnsi="Arial"/>
          <w:sz w:val="19"/>
          <w:szCs w:val="19"/>
          <w:color w:val="auto"/>
        </w:rPr>
        <w:t>”),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or non-profit entity, including service with respect to employee benefit plans (for purposes of this Article VI, an “</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costs,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spacing w:after="0" w:line="31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u w:val="single" w:color="auto"/>
          <w:color w:val="auto"/>
        </w:rPr>
        <w:t>Section 6.2</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Advance of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these Bylaws, the Corporation shall pay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reasonable expenses (including attorneys’ fees) incurred by an Indemnitee in defending any Proceeding in advance of its final disposition;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the DGCL then so requires, the advancement of such expenses (i.e., payment of such expenses as incurred or otherwise in advance of the final disposition of the Proceeding) shall be made only upon delivery to the Corporation of an undertaking, by or on behalf of such Indemnitee, to repay such amounts if it shall ultimately be determined by a court of competent jurisdiction in a final judgement not subject to appeal that such Indemnitee is not entitled to be indemnified under this Article VI or otherwise. Any advances of expenses or undertakings to repay pursuant to this Section 6.2 shall be unsecured, interest free and without regard to Indemnitee’s ability to pay.</w:t>
      </w:r>
    </w:p>
    <w:p>
      <w:pPr>
        <w:spacing w:after="0" w:line="4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b w:val="1"/>
          <w:bCs w:val="1"/>
          <w:u w:val="single" w:color="auto"/>
          <w:color w:val="auto"/>
        </w:rPr>
        <w:t>Section 6.3</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Non-Exclusivity of Rights</w:t>
      </w:r>
      <w:r>
        <w:rPr>
          <w:rFonts w:ascii="Arial" w:cs="Arial" w:eastAsia="Arial" w:hAnsi="Arial"/>
          <w:sz w:val="21"/>
          <w:szCs w:val="21"/>
          <w:b w:val="1"/>
          <w:bCs w:val="1"/>
          <w:color w:val="auto"/>
        </w:rPr>
        <w:t xml:space="preserve">. </w:t>
      </w:r>
      <w:r>
        <w:rPr>
          <w:rFonts w:ascii="Arial" w:cs="Arial" w:eastAsia="Arial" w:hAnsi="Arial"/>
          <w:sz w:val="21"/>
          <w:szCs w:val="21"/>
          <w:color w:val="auto"/>
        </w:rPr>
        <w:t>The rights conferred on any person in this Article VI shall not be exclusive of</w:t>
      </w:r>
      <w:r>
        <w:rPr>
          <w:rFonts w:ascii="Arial" w:cs="Arial" w:eastAsia="Arial" w:hAnsi="Arial"/>
          <w:sz w:val="21"/>
          <w:szCs w:val="21"/>
          <w:b w:val="1"/>
          <w:bCs w:val="1"/>
          <w:color w:val="auto"/>
        </w:rPr>
        <w:t xml:space="preserve"> </w:t>
      </w:r>
      <w:r>
        <w:rPr>
          <w:rFonts w:ascii="Arial" w:cs="Arial" w:eastAsia="Arial" w:hAnsi="Arial"/>
          <w:sz w:val="21"/>
          <w:szCs w:val="21"/>
          <w:color w:val="auto"/>
        </w:rPr>
        <w:t>any other right that such person may have or hereafter acquire under any statute, provision of the Certificate of Incorporation, Bylaws, agreement, vote or consent of stockholders or disinterested directors, or otherwise. Additionally, nothing in this Article VI shall limit the ability of the Corporation, in its discretion, to indemnify or advance expenses to persons whom the Corporation is not obligated to indemnify or advance expenses pursuant to this 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- 23 -</w:t>
      </w:r>
    </w:p>
    <w:p>
      <w:pPr>
        <w:sectPr>
          <w:pgSz w:w="11900" w:h="16838" w:orient="portrait"/>
          <w:cols w:equalWidth="0" w:num="1">
            <w:col w:w="11240"/>
          </w:cols>
          <w:pgMar w:left="320" w:top="1401" w:right="339" w:bottom="1440" w:gutter="0" w:footer="0" w:header="0"/>
        </w:sectPr>
      </w:pPr>
    </w:p>
    <w:bookmarkStart w:id="127" w:name="page128"/>
    <w:bookmarkEnd w:id="127"/>
    <w:p>
      <w:pPr>
        <w:jc w:val="both"/>
        <w:ind w:firstLine="648"/>
        <w:spacing w:after="0" w:line="253" w:lineRule="auto"/>
        <w:rPr>
          <w:sz w:val="20"/>
          <w:szCs w:val="20"/>
          <w:color w:val="auto"/>
        </w:rPr>
      </w:pPr>
      <w:r>
        <w:rPr>
          <w:rFonts w:ascii="Arial" w:cs="Arial" w:eastAsia="Arial" w:hAnsi="Arial"/>
          <w:sz w:val="22"/>
          <w:szCs w:val="22"/>
          <w:b w:val="1"/>
          <w:bCs w:val="1"/>
          <w:u w:val="single" w:color="auto"/>
          <w:color w:val="auto"/>
        </w:rPr>
        <w:t>Section 6.4</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Indemnification Contracts</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is authorized to cause the Corporation to enter into</w:t>
      </w:r>
      <w:r>
        <w:rPr>
          <w:rFonts w:ascii="Arial" w:cs="Arial" w:eastAsia="Arial" w:hAnsi="Arial"/>
          <w:sz w:val="22"/>
          <w:szCs w:val="22"/>
          <w:b w:val="1"/>
          <w:bCs w:val="1"/>
          <w:color w:val="auto"/>
        </w:rPr>
        <w:t xml:space="preserve"> </w:t>
      </w:r>
      <w:r>
        <w:rPr>
          <w:rFonts w:ascii="Arial" w:cs="Arial" w:eastAsia="Arial" w:hAnsi="Arial"/>
          <w:sz w:val="22"/>
          <w:szCs w:val="22"/>
          <w:color w:val="auto"/>
        </w:rPr>
        <w:t>indemnification contracts with any director, officer, employee or agent of the Corporation, or any person serving at the request of the Corporation as a director, officer, employee, agent or trustee of another corporation, partnership, joint venture, trust or other enterprise, including employee benefit plans, providing indemnification or advancement rights to such person. Such rights may be greater than those provided in this Article VI.</w:t>
      </w:r>
    </w:p>
    <w:p>
      <w:pPr>
        <w:spacing w:after="0" w:line="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b w:val="1"/>
          <w:bCs w:val="1"/>
          <w:u w:val="single" w:color="auto"/>
          <w:color w:val="auto"/>
        </w:rPr>
        <w:t>Section 6.5: Right of Indemnitee to Bring Suit</w:t>
      </w:r>
      <w:r>
        <w:rPr>
          <w:rFonts w:ascii="Arial" w:cs="Arial" w:eastAsia="Arial" w:hAnsi="Arial"/>
          <w:sz w:val="22"/>
          <w:szCs w:val="22"/>
          <w:b w:val="1"/>
          <w:bCs w:val="1"/>
          <w:color w:val="auto"/>
        </w:rPr>
        <w:t xml:space="preserve">. </w:t>
      </w:r>
      <w:r>
        <w:rPr>
          <w:rFonts w:ascii="Arial" w:cs="Arial" w:eastAsia="Arial" w:hAnsi="Arial"/>
          <w:sz w:val="22"/>
          <w:szCs w:val="22"/>
          <w:color w:val="auto"/>
        </w:rPr>
        <w:t>The following shall apply to the extent not in conflict with any</w:t>
      </w:r>
      <w:r>
        <w:rPr>
          <w:rFonts w:ascii="Arial" w:cs="Arial" w:eastAsia="Arial" w:hAnsi="Arial"/>
          <w:sz w:val="22"/>
          <w:szCs w:val="22"/>
          <w:b w:val="1"/>
          <w:bCs w:val="1"/>
          <w:color w:val="auto"/>
        </w:rPr>
        <w:t xml:space="preserve"> </w:t>
      </w:r>
      <w:r>
        <w:rPr>
          <w:rFonts w:ascii="Arial" w:cs="Arial" w:eastAsia="Arial" w:hAnsi="Arial"/>
          <w:sz w:val="22"/>
          <w:szCs w:val="22"/>
          <w:color w:val="auto"/>
        </w:rPr>
        <w:t>indemnification contract provided for in Section 6.4 of these Bylaws.</w:t>
      </w:r>
    </w:p>
    <w:p>
      <w:pPr>
        <w:spacing w:after="0" w:line="4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6.5.1 </w:t>
      </w:r>
      <w:r>
        <w:rPr>
          <w:rFonts w:ascii="Arial" w:cs="Arial" w:eastAsia="Arial" w:hAnsi="Arial"/>
          <w:sz w:val="19"/>
          <w:szCs w:val="19"/>
          <w:u w:val="single" w:color="auto"/>
          <w:color w:val="auto"/>
        </w:rPr>
        <w:t>Right to Bring Suit</w:t>
      </w:r>
      <w:r>
        <w:rPr>
          <w:rFonts w:ascii="Arial" w:cs="Arial" w:eastAsia="Arial" w:hAnsi="Arial"/>
          <w:sz w:val="19"/>
          <w:szCs w:val="19"/>
          <w:color w:val="auto"/>
        </w:rPr>
        <w:t>. If a claim under Section 6.1 or 6.2 of these Bylaws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the Indemnitee is successful in whole or in part in any such suit, or in a suit brought by the Corporation to recover an advancement of expenses pursuant to the terms of an undertaking, the Indemnitee also shall be entitled to be paid, to the fullest extent permitted by law, the expense of prosecuting or defending such suit. In any suit brought by the Indemnitee to enforce a right to indemnification hereunder (but not in a suit brought by the Indemnitee to enforce a right to an advancement of expenses) it shall be a defense that the Indemnitee has not met any applicable standard of conduct which makes it permissible under the DGCL (or other applicable law) for the Corporation to indemnify the Indemnitee for the amount claimed.</w:t>
      </w:r>
    </w:p>
    <w:p>
      <w:pPr>
        <w:spacing w:after="0" w:line="6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6.5.2 </w:t>
      </w:r>
      <w:r>
        <w:rPr>
          <w:rFonts w:ascii="Arial" w:cs="Arial" w:eastAsia="Arial" w:hAnsi="Arial"/>
          <w:sz w:val="21"/>
          <w:szCs w:val="21"/>
          <w:u w:val="single" w:color="auto"/>
          <w:color w:val="auto"/>
        </w:rPr>
        <w:t>Effect of Determination</w:t>
      </w:r>
      <w:r>
        <w:rPr>
          <w:rFonts w:ascii="Arial" w:cs="Arial" w:eastAsia="Arial" w:hAnsi="Arial"/>
          <w:sz w:val="21"/>
          <w:szCs w:val="21"/>
          <w:color w:val="auto"/>
        </w:rPr>
        <w:t>. Neither the absence of a determination prior to the commencement of such suit that indemnification of or the providing of advancement to the Indemnitee is proper in the circumstances because the Indemnitee has met the applicable standard of conduct set forth in applicable law, nor an actual determination that the Indemnitee has not met such applicable standard of conduct, shall create a presumption that the Indemnitee has not met the applicable standard of conduct or, in the case of such a suit brought by the Indemnitee, be a defense to such suit.</w:t>
      </w:r>
    </w:p>
    <w:p>
      <w:pPr>
        <w:spacing w:after="0" w:line="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6.5.3 </w:t>
      </w:r>
      <w:r>
        <w:rPr>
          <w:rFonts w:ascii="Arial" w:cs="Arial" w:eastAsia="Arial" w:hAnsi="Arial"/>
          <w:sz w:val="22"/>
          <w:szCs w:val="22"/>
          <w:u w:val="single" w:color="auto"/>
          <w:color w:val="auto"/>
        </w:rPr>
        <w:t>Burden of Proof</w:t>
      </w:r>
      <w:r>
        <w:rPr>
          <w:rFonts w:ascii="Arial" w:cs="Arial" w:eastAsia="Arial" w:hAnsi="Arial"/>
          <w:sz w:val="22"/>
          <w:szCs w:val="22"/>
          <w:color w:val="auto"/>
        </w:rPr>
        <w: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 or otherwise, shall be on the Corporation.</w:t>
      </w:r>
    </w:p>
    <w:p>
      <w:pPr>
        <w:spacing w:after="0" w:line="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b w:val="1"/>
          <w:bCs w:val="1"/>
          <w:u w:val="single" w:color="auto"/>
          <w:color w:val="auto"/>
        </w:rPr>
        <w:t>Section 6.6</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Nature of Rights</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conferred upon Indemnitees in this Article VI shall be contract rights and</w:t>
      </w:r>
      <w:r>
        <w:rPr>
          <w:rFonts w:ascii="Arial" w:cs="Arial" w:eastAsia="Arial" w:hAnsi="Arial"/>
          <w:sz w:val="22"/>
          <w:szCs w:val="22"/>
          <w:b w:val="1"/>
          <w:bCs w:val="1"/>
          <w:color w:val="auto"/>
        </w:rPr>
        <w:t xml:space="preserve"> </w:t>
      </w:r>
      <w:r>
        <w:rPr>
          <w:rFonts w:ascii="Arial" w:cs="Arial" w:eastAsia="Arial" w:hAnsi="Arial"/>
          <w:sz w:val="22"/>
          <w:szCs w:val="22"/>
          <w:color w:val="auto"/>
        </w:rPr>
        <w:t>such rights shall continue as to an Indemnitee who has ceased to be a director, officer or trustee and shall inure to the benefit of the Indemnitee’s heirs, executors and administrators. Any amendment, repeal or modification of any provision of this Article VI that adversely affects any right of an Indemnitee or an Indemnitee’s successors shall be prospective only, and shall not adversely affect any right or protection conferred on a person pursuant to this Article VI with respect to any Proceeding involving any occurrence or alleged occurrence of any action or omission to act that took place prior to such amendment, repeal or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- 24 -</w:t>
      </w:r>
    </w:p>
    <w:p>
      <w:pPr>
        <w:sectPr>
          <w:pgSz w:w="11900" w:h="16838" w:orient="portrait"/>
          <w:cols w:equalWidth="0" w:num="1">
            <w:col w:w="11240"/>
          </w:cols>
          <w:pgMar w:left="320" w:top="1395" w:right="339" w:bottom="1440" w:gutter="0" w:footer="0" w:header="0"/>
        </w:sectPr>
      </w:pPr>
    </w:p>
    <w:bookmarkStart w:id="128" w:name="page129"/>
    <w:bookmarkEnd w:id="128"/>
    <w:p>
      <w:pPr>
        <w:jc w:val="both"/>
        <w:ind w:firstLine="648"/>
        <w:spacing w:after="0" w:line="272" w:lineRule="auto"/>
        <w:rPr>
          <w:sz w:val="20"/>
          <w:szCs w:val="20"/>
          <w:color w:val="auto"/>
        </w:rPr>
      </w:pPr>
      <w:r>
        <w:rPr>
          <w:rFonts w:ascii="Arial" w:cs="Arial" w:eastAsia="Arial" w:hAnsi="Arial"/>
          <w:sz w:val="21"/>
          <w:szCs w:val="21"/>
          <w:b w:val="1"/>
          <w:bCs w:val="1"/>
          <w:u w:val="single" w:color="auto"/>
          <w:color w:val="auto"/>
        </w:rPr>
        <w:t>Section 6.7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may purchase and maintain insurance, at its expense, to protect itself and any</w:t>
      </w:r>
      <w:r>
        <w:rPr>
          <w:rFonts w:ascii="Arial" w:cs="Arial" w:eastAsia="Arial" w:hAnsi="Arial"/>
          <w:sz w:val="21"/>
          <w:szCs w:val="21"/>
          <w:b w:val="1"/>
          <w:bCs w:val="1"/>
          <w:color w:val="auto"/>
        </w:rPr>
        <w:t xml:space="preserve"> </w:t>
      </w:r>
      <w:r>
        <w:rPr>
          <w:rFonts w:ascii="Arial" w:cs="Arial" w:eastAsia="Arial" w:hAnsi="Arial"/>
          <w:sz w:val="21"/>
          <w:szCs w:val="21"/>
          <w:color w:val="auto"/>
        </w:rPr>
        <w:t>director, officer, employee or agent of the Corporation or another corporation, partnership, joint venture, trust or other enterprise or non-profit entity against any expense, liability or loss, whether or not the Corporation would have the power to indemnify such person against such expense, liability or loss under the DGCL.</w:t>
      </w:r>
    </w:p>
    <w:p>
      <w:pPr>
        <w:spacing w:after="0" w:line="53" w:lineRule="exact"/>
        <w:rPr>
          <w:sz w:val="20"/>
          <w:szCs w:val="20"/>
          <w:color w:val="auto"/>
        </w:rPr>
      </w:pPr>
    </w:p>
    <w:p>
      <w:pPr>
        <w:jc w:val="both"/>
        <w:ind w:left="660"/>
        <w:spacing w:after="0" w:line="292" w:lineRule="auto"/>
        <w:rPr>
          <w:sz w:val="20"/>
          <w:szCs w:val="20"/>
          <w:color w:val="auto"/>
        </w:rPr>
      </w:pPr>
      <w:r>
        <w:rPr>
          <w:rFonts w:ascii="Arial" w:cs="Arial" w:eastAsia="Arial" w:hAnsi="Arial"/>
          <w:sz w:val="19"/>
          <w:szCs w:val="19"/>
          <w:b w:val="1"/>
          <w:bCs w:val="1"/>
          <w:u w:val="single" w:color="auto"/>
          <w:color w:val="auto"/>
        </w:rPr>
        <w:t>Section 6.8 Indemnification for Successful Defense</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that an Indemnitee has been successful on the</w:t>
      </w:r>
      <w:r>
        <w:rPr>
          <w:rFonts w:ascii="Arial" w:cs="Arial" w:eastAsia="Arial" w:hAnsi="Arial"/>
          <w:sz w:val="19"/>
          <w:szCs w:val="19"/>
          <w:b w:val="1"/>
          <w:bCs w:val="1"/>
          <w:color w:val="auto"/>
        </w:rPr>
        <w:t xml:space="preserve"> </w:t>
      </w:r>
      <w:r>
        <w:rPr>
          <w:rFonts w:ascii="Arial" w:cs="Arial" w:eastAsia="Arial" w:hAnsi="Arial"/>
          <w:sz w:val="19"/>
          <w:szCs w:val="19"/>
          <w:color w:val="auto"/>
        </w:rPr>
        <w:t>merits or otherwise in defense of any Proceeding (or in defense of any claim, issue or matter therein), such Indemnitee shall be indemnified under this Section 6.8 against expenses (including attorneys’ fees) actually and reasonably incurred in connection with such defense. Indemnification under this Section 6.8 shall not be subject to satisfaction of a standard of conduct, and the Corporation may not assert the failure to satisfy a standard of conduct as a basis to deny indemnification or recover amounts advanced, including in a suit brought pursuant to Section 6.5 (notwithstanding anything to the contrary therein); provided, however, that, any Indemnitee who is not a current or former director or officer (as such term is defined in the final sentence of Section 145(c)(1) of the DGCL) shall be entitled to indemnification under Section 6.1 and this Section 6.8 only if such Indemnitee has satisfied the standard of conduct required for indemnification under Section 145(a) or Section 145(b) of the DGCL.</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 NOTICES</w:t>
      </w:r>
    </w:p>
    <w:p>
      <w:pPr>
        <w:spacing w:after="0" w:line="11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u w:val="single" w:color="auto"/>
          <w:color w:val="auto"/>
        </w:rPr>
        <w:t>Section 7.1</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b w:val="1"/>
          <w:bCs w:val="1"/>
          <w:u w:val="single" w:color="auto"/>
          <w:color w:val="auto"/>
        </w:rPr>
        <w:t>Notice</w:t>
      </w:r>
      <w:r>
        <w:rPr>
          <w:rFonts w:ascii="Arial" w:cs="Arial" w:eastAsia="Arial" w:hAnsi="Arial"/>
          <w:sz w:val="19"/>
          <w:szCs w:val="19"/>
          <w:b w:val="1"/>
          <w:bCs w:val="1"/>
          <w:color w:val="auto"/>
        </w:rPr>
        <w:t>.</w:t>
      </w:r>
    </w:p>
    <w:p>
      <w:pPr>
        <w:spacing w:after="0" w:line="1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7.1.1 </w:t>
      </w:r>
      <w:r>
        <w:rPr>
          <w:rFonts w:ascii="Arial" w:cs="Arial" w:eastAsia="Arial" w:hAnsi="Arial"/>
          <w:sz w:val="19"/>
          <w:szCs w:val="19"/>
          <w:u w:val="single" w:color="auto"/>
          <w:color w:val="auto"/>
        </w:rPr>
        <w:t>Form and Delivery</w:t>
      </w:r>
      <w:r>
        <w:rPr>
          <w:rFonts w:ascii="Arial" w:cs="Arial" w:eastAsia="Arial" w:hAnsi="Arial"/>
          <w:sz w:val="19"/>
          <w:szCs w:val="19"/>
          <w:color w:val="auto"/>
        </w:rPr>
        <w:t>. Except as otherwise required by law, notice may be given in writing directed to a stockholder’s mailing address as it appears on the records of the Corporation and shall be given: (a) if mailed, when notice is deposited in the U.S. mail, postage prepaid; and (b) if delivered by courier service, the earlier of when the notice is received or left at such stockholder’s address. So long as the Corporation is subject to the Securities and Exchange Commission’s proxy rules set forth in Regulation 14A under the Exchange Act, notice shall be given in the manner required by such rules. To the extent permitted by such rules, or if the Corporation is not subject to Regulation 14A,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DGCL. If notice is given by electronic mail, such notice shall comply with the applicable provisions of Sections 232(a) and 232(d) of the DGCL. Notice may be given by other forms of electronic transmission with the consent of a stockholder in the manner permitted by Section 232(b) of the DGCL and shall be deemed given as provided therein.</w:t>
      </w:r>
    </w:p>
    <w:p>
      <w:pPr>
        <w:spacing w:after="0" w:line="3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7.1.2 </w:t>
      </w:r>
      <w:r>
        <w:rPr>
          <w:rFonts w:ascii="Arial" w:cs="Arial" w:eastAsia="Arial" w:hAnsi="Arial"/>
          <w:sz w:val="22"/>
          <w:szCs w:val="22"/>
          <w:u w:val="single" w:color="auto"/>
          <w:color w:val="auto"/>
        </w:rPr>
        <w:t>Affidavit of Giving Notice</w:t>
      </w:r>
      <w:r>
        <w:rPr>
          <w:rFonts w:ascii="Arial" w:cs="Arial" w:eastAsia="Arial" w:hAnsi="Arial"/>
          <w:sz w:val="22"/>
          <w:szCs w:val="22"/>
          <w:color w:val="auto"/>
        </w:rPr>
        <w:t>. An affidavit of the Secretary or an Assistant Secretary or of the transfer agent or other agent of the Corporation that the notice has been given shall, in the absence of fraud, be prima facie evidence of the facts stated therein.</w:t>
      </w:r>
    </w:p>
    <w:p>
      <w:pPr>
        <w:spacing w:after="0" w:line="7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b w:val="1"/>
          <w:bCs w:val="1"/>
          <w:u w:val="single" w:color="auto"/>
          <w:color w:val="auto"/>
        </w:rPr>
        <w:t>Section 7.2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Waiver of Notice</w:t>
      </w:r>
      <w:r>
        <w:rPr>
          <w:rFonts w:ascii="Arial" w:cs="Arial" w:eastAsia="Arial" w:hAnsi="Arial"/>
          <w:sz w:val="22"/>
          <w:szCs w:val="22"/>
          <w:b w:val="1"/>
          <w:bCs w:val="1"/>
          <w:color w:val="auto"/>
        </w:rPr>
        <w:t xml:space="preserve">. </w:t>
      </w:r>
      <w:r>
        <w:rPr>
          <w:rFonts w:ascii="Arial" w:cs="Arial" w:eastAsia="Arial" w:hAnsi="Arial"/>
          <w:sz w:val="22"/>
          <w:szCs w:val="22"/>
          <w:color w:val="auto"/>
        </w:rPr>
        <w:t>Whenever notice is required to be given under any provision of the DGCL,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of Incorporation or these Bylaws, a written waiver of notice, signed by the person entitled to notice, or waiver by electronic transmission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- 25 -</w:t>
      </w:r>
    </w:p>
    <w:p>
      <w:pPr>
        <w:sectPr>
          <w:pgSz w:w="11900" w:h="16838" w:orient="portrait"/>
          <w:cols w:equalWidth="0" w:num="1">
            <w:col w:w="11240"/>
          </w:cols>
          <w:pgMar w:left="320" w:top="1395" w:right="339" w:bottom="1440" w:gutter="0" w:footer="0" w:header="0"/>
        </w:sectPr>
      </w:pPr>
    </w:p>
    <w:bookmarkStart w:id="129" w:name="page130"/>
    <w:bookmarkEnd w:id="129"/>
    <w:p>
      <w:pPr>
        <w:jc w:val="both"/>
        <w:spacing w:after="0" w:line="266" w:lineRule="auto"/>
        <w:rPr>
          <w:sz w:val="20"/>
          <w:szCs w:val="20"/>
          <w:color w:val="auto"/>
        </w:rPr>
      </w:pPr>
      <w:r>
        <w:rPr>
          <w:rFonts w:ascii="Arial" w:cs="Arial" w:eastAsia="Arial" w:hAnsi="Arial"/>
          <w:sz w:val="21"/>
          <w:szCs w:val="21"/>
          <w:color w:val="auto"/>
        </w:rPr>
        <w:t>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 INTERESTED DIRECTORS</w:t>
      </w:r>
    </w:p>
    <w:p>
      <w:pPr>
        <w:spacing w:after="0" w:line="1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b w:val="1"/>
          <w:bCs w:val="1"/>
          <w:u w:val="single" w:color="auto"/>
          <w:color w:val="auto"/>
        </w:rPr>
        <w:t>Section 8.1</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Interested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No contract or transaction between the Corporation and one or more of its members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Board or officers, or between the Corporation and any other corporation, partnership, association or other organization in which one or more of its directors or officers are members of the board of directors or officers, or have a financial interest, shall be void or voidable solely for this reason, or solely because the director or officer is present at or participates in the meeting of the Board or committee thereof that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w:t>
      </w:r>
    </w:p>
    <w:p>
      <w:pPr>
        <w:spacing w:after="0" w:line="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auto"/>
        </w:rPr>
        <w:t>Section 8.2</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Quorum</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Interested directors may be counted in determining the presence of a quorum at a meeting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or of a committee which authorizes the contract or transaction.</w:t>
      </w:r>
    </w:p>
    <w:p>
      <w:pPr>
        <w:spacing w:after="0" w:line="54"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ARTICLE IX: MISCELLANEOUS</w:t>
      </w:r>
    </w:p>
    <w:p>
      <w:pPr>
        <w:spacing w:after="0" w:line="11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u w:val="single" w:color="auto"/>
          <w:color w:val="auto"/>
        </w:rPr>
        <w:t>Section 9.1</w:t>
      </w:r>
      <w:r>
        <w:rPr>
          <w:rFonts w:ascii="Arial" w:cs="Arial" w:eastAsia="Arial" w:hAnsi="Arial"/>
          <w:sz w:val="22"/>
          <w:szCs w:val="22"/>
          <w:b w:val="1"/>
          <w:bCs w:val="1"/>
          <w:color w:val="auto"/>
        </w:rPr>
        <w:t>:</w:t>
      </w:r>
      <w:r>
        <w:rPr>
          <w:sz w:val="20"/>
          <w:szCs w:val="20"/>
          <w:color w:val="auto"/>
        </w:rPr>
        <w:tab/>
      </w:r>
      <w:r>
        <w:rPr>
          <w:rFonts w:ascii="Arial" w:cs="Arial" w:eastAsia="Arial" w:hAnsi="Arial"/>
          <w:sz w:val="19"/>
          <w:szCs w:val="19"/>
          <w:b w:val="1"/>
          <w:bCs w:val="1"/>
          <w:u w:val="single" w:color="auto"/>
          <w:color w:val="auto"/>
        </w:rPr>
        <w:t>Fiscal Year</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The fiscal year of the Corporation shall be determined by resolution of the Board.</w:t>
      </w:r>
    </w:p>
    <w:p>
      <w:pPr>
        <w:spacing w:after="0" w:line="1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21"/>
          <w:szCs w:val="21"/>
          <w:b w:val="1"/>
          <w:bCs w:val="1"/>
          <w:u w:val="single" w:color="auto"/>
          <w:color w:val="auto"/>
        </w:rPr>
        <w:t>Section 9.2</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Seal</w:t>
      </w:r>
      <w:r>
        <w:rPr>
          <w:rFonts w:ascii="Arial" w:cs="Arial" w:eastAsia="Arial" w:hAnsi="Arial"/>
          <w:sz w:val="21"/>
          <w:szCs w:val="21"/>
          <w:b w:val="1"/>
          <w:bCs w:val="1"/>
          <w:color w:val="auto"/>
        </w:rPr>
        <w:t xml:space="preserve">. </w:t>
      </w:r>
      <w:r>
        <w:rPr>
          <w:rFonts w:ascii="Arial" w:cs="Arial" w:eastAsia="Arial" w:hAnsi="Arial"/>
          <w:sz w:val="21"/>
          <w:szCs w:val="21"/>
          <w:color w:val="auto"/>
        </w:rPr>
        <w:t>The Board may provide for a corporate seal, which may have the name of the Corporation inscribed</w:t>
      </w:r>
      <w:r>
        <w:rPr>
          <w:rFonts w:ascii="Arial" w:cs="Arial" w:eastAsia="Arial" w:hAnsi="Arial"/>
          <w:sz w:val="21"/>
          <w:szCs w:val="21"/>
          <w:b w:val="1"/>
          <w:bCs w:val="1"/>
          <w:color w:val="auto"/>
        </w:rPr>
        <w:t xml:space="preserve"> </w:t>
      </w:r>
      <w:r>
        <w:rPr>
          <w:rFonts w:ascii="Arial" w:cs="Arial" w:eastAsia="Arial" w:hAnsi="Arial"/>
          <w:sz w:val="21"/>
          <w:szCs w:val="21"/>
          <w:color w:val="auto"/>
        </w:rPr>
        <w:t>thereon and shall otherwise be in such form as may be approved from time to time by the Board.</w:t>
      </w:r>
    </w:p>
    <w:p>
      <w:pPr>
        <w:spacing w:after="0" w:line="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b w:val="1"/>
          <w:bCs w:val="1"/>
          <w:u w:val="single" w:color="auto"/>
          <w:color w:val="auto"/>
        </w:rPr>
        <w:t>Section 9.3</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Form of Records</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records administered by or on behalf of the Corporation in the regular course of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business, including its stock ledger, books of account and minute books, may be kept on or by means of, or be in the form of any other information storage device, method or one or more electronic networks or databases (including one or more distributed electronic networks or databases), electronic or otherwise,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that the records so kept can be converted into clearly legible paper form within a reasonable time and otherwise comply with the DGCL. The Corporation shall so convert any records so kept upon the request of any person entitled to inspect such records pursuant to any provision of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- 26 -</w:t>
      </w:r>
    </w:p>
    <w:p>
      <w:pPr>
        <w:sectPr>
          <w:pgSz w:w="11900" w:h="16838" w:orient="portrait"/>
          <w:cols w:equalWidth="0" w:num="1">
            <w:col w:w="11240"/>
          </w:cols>
          <w:pgMar w:left="320" w:top="1401" w:right="339" w:bottom="1440" w:gutter="0" w:footer="0" w:header="0"/>
        </w:sectPr>
      </w:pPr>
    </w:p>
    <w:bookmarkStart w:id="130" w:name="page131"/>
    <w:bookmarkEnd w:id="130"/>
    <w:p>
      <w:pPr>
        <w:jc w:val="both"/>
        <w:ind w:firstLine="648"/>
        <w:spacing w:after="0" w:line="251" w:lineRule="auto"/>
        <w:rPr>
          <w:sz w:val="20"/>
          <w:szCs w:val="20"/>
          <w:color w:val="auto"/>
        </w:rPr>
      </w:pPr>
      <w:r>
        <w:rPr>
          <w:rFonts w:ascii="Arial" w:cs="Arial" w:eastAsia="Arial" w:hAnsi="Arial"/>
          <w:sz w:val="22"/>
          <w:szCs w:val="22"/>
          <w:b w:val="1"/>
          <w:bCs w:val="1"/>
          <w:u w:val="single" w:color="auto"/>
          <w:color w:val="auto"/>
        </w:rPr>
        <w:t>Section 9.4</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Reliance Upon Books and Records</w:t>
      </w:r>
      <w:r>
        <w:rPr>
          <w:rFonts w:ascii="Arial" w:cs="Arial" w:eastAsia="Arial" w:hAnsi="Arial"/>
          <w:sz w:val="22"/>
          <w:szCs w:val="22"/>
          <w:b w:val="1"/>
          <w:bCs w:val="1"/>
          <w:color w:val="auto"/>
        </w:rPr>
        <w:t xml:space="preserve">. </w:t>
      </w:r>
      <w:r>
        <w:rPr>
          <w:rFonts w:ascii="Arial" w:cs="Arial" w:eastAsia="Arial" w:hAnsi="Arial"/>
          <w:sz w:val="22"/>
          <w:szCs w:val="22"/>
          <w:color w:val="auto"/>
        </w:rPr>
        <w:t>A member of the Board, or a member of any committee designated</w:t>
      </w:r>
      <w:r>
        <w:rPr>
          <w:rFonts w:ascii="Arial" w:cs="Arial" w:eastAsia="Arial" w:hAnsi="Arial"/>
          <w:sz w:val="22"/>
          <w:szCs w:val="22"/>
          <w:b w:val="1"/>
          <w:bCs w:val="1"/>
          <w:color w:val="auto"/>
        </w:rPr>
        <w:t xml:space="preserve"> </w:t>
      </w:r>
      <w:r>
        <w:rPr>
          <w:rFonts w:ascii="Arial" w:cs="Arial" w:eastAsia="Arial" w:hAnsi="Arial"/>
          <w:sz w:val="22"/>
          <w:szCs w:val="22"/>
          <w:color w:val="auto"/>
        </w:rPr>
        <w:t>by the Board shall, in the performance of such person’s duties, be fully protected in relying in good faith upon the books and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u w:val="single" w:color="auto"/>
          <w:color w:val="auto"/>
        </w:rPr>
        <w:t>Section 9.5</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Certificate of Incorporation Governs</w:t>
      </w:r>
      <w:r>
        <w:rPr>
          <w:rFonts w:ascii="Arial" w:cs="Arial" w:eastAsia="Arial" w:hAnsi="Arial"/>
          <w:sz w:val="22"/>
          <w:szCs w:val="22"/>
          <w:b w:val="1"/>
          <w:bCs w:val="1"/>
          <w:color w:val="auto"/>
        </w:rPr>
        <w:t xml:space="preserve">. </w:t>
      </w:r>
      <w:r>
        <w:rPr>
          <w:rFonts w:ascii="Arial" w:cs="Arial" w:eastAsia="Arial" w:hAnsi="Arial"/>
          <w:sz w:val="22"/>
          <w:szCs w:val="22"/>
          <w:color w:val="auto"/>
        </w:rPr>
        <w:t>In the event of any conflict between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Certificate of Incorporation and Bylaws, the provisions of the Certificate of Incorporation shall govern.</w:t>
      </w:r>
    </w:p>
    <w:p>
      <w:pPr>
        <w:spacing w:after="0" w:line="5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b w:val="1"/>
          <w:bCs w:val="1"/>
          <w:u w:val="single" w:color="auto"/>
          <w:color w:val="auto"/>
        </w:rPr>
        <w:t>Section 9.6</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these Bylaws shall be held to be invalid, illegal, unenforceable or in</w:t>
      </w:r>
      <w:r>
        <w:rPr>
          <w:rFonts w:ascii="Arial" w:cs="Arial" w:eastAsia="Arial" w:hAnsi="Arial"/>
          <w:sz w:val="22"/>
          <w:szCs w:val="22"/>
          <w:b w:val="1"/>
          <w:bCs w:val="1"/>
          <w:color w:val="auto"/>
        </w:rPr>
        <w:t xml:space="preserve"> </w:t>
      </w:r>
      <w:r>
        <w:rPr>
          <w:rFonts w:ascii="Arial" w:cs="Arial" w:eastAsia="Arial" w:hAnsi="Arial"/>
          <w:sz w:val="22"/>
          <w:szCs w:val="22"/>
          <w:color w:val="auto"/>
        </w:rPr>
        <w:t>conflict with the provisions of the Certificate of Incorporation, then such provision shall nonetheless be enforced to the maximum extent possible consistent with such holding and the remaining provisions of these Bylaws (including without limitation, all portions of any section of these Bylaws containing any such provision held to be invalid, illegal, unenforceable or in conflict with the Certificate of Incorporation, that are not themselves invalid, illegal, unenforceable or in conflict with the Certificate of Incorporation) shall remain in full force and effect.</w:t>
      </w:r>
    </w:p>
    <w:p>
      <w:pPr>
        <w:spacing w:after="0" w:line="73"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u w:val="single" w:color="auto"/>
          <w:color w:val="auto"/>
        </w:rPr>
        <w:t>Section 9.7</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Time Periods</w:t>
      </w:r>
      <w:r>
        <w:rPr>
          <w:rFonts w:ascii="Arial" w:cs="Arial" w:eastAsia="Arial" w:hAnsi="Arial"/>
          <w:sz w:val="19"/>
          <w:szCs w:val="19"/>
          <w:b w:val="1"/>
          <w:bCs w:val="1"/>
          <w:color w:val="auto"/>
        </w:rPr>
        <w:t xml:space="preserve">. </w:t>
      </w:r>
      <w:r>
        <w:rPr>
          <w:rFonts w:ascii="Arial" w:cs="Arial" w:eastAsia="Arial" w:hAnsi="Arial"/>
          <w:sz w:val="19"/>
          <w:szCs w:val="19"/>
          <w:color w:val="auto"/>
        </w:rPr>
        <w:t>In applying any provision of these Bylaws which requires that an act be done or not be done</w:t>
      </w:r>
      <w:r>
        <w:rPr>
          <w:rFonts w:ascii="Arial" w:cs="Arial" w:eastAsia="Arial" w:hAnsi="Arial"/>
          <w:sz w:val="19"/>
          <w:szCs w:val="19"/>
          <w:b w:val="1"/>
          <w:bCs w:val="1"/>
          <w:color w:val="auto"/>
        </w:rPr>
        <w:t xml:space="preserve"> </w:t>
      </w:r>
      <w:r>
        <w:rPr>
          <w:rFonts w:ascii="Arial" w:cs="Arial" w:eastAsia="Arial" w:hAnsi="Arial"/>
          <w:sz w:val="19"/>
          <w:szCs w:val="19"/>
          <w:color w:val="auto"/>
        </w:rPr>
        <w:t>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 AMENDMENT</w:t>
      </w:r>
    </w:p>
    <w:p>
      <w:pPr>
        <w:spacing w:after="0" w:line="1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Notwithstanding any other provision of these Bylaws, any alteration, amendment or repeal of these Bylaws, and any adoption of new Bylaws, shall require the approval of the Board or the stockholders of the Corporation as expressly provided in the Certificate of Incorporation.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 EXCLUSIVE FORUM</w:t>
      </w:r>
    </w:p>
    <w:p>
      <w:pPr>
        <w:spacing w:after="0" w:line="13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Unless the Corporation consents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or holding any interest in any security of the Corporation shall be deemed to have notice of and consented to the provisions of this Article XI.</w:t>
      </w:r>
    </w:p>
    <w:p>
      <w:pPr>
        <w:spacing w:after="0" w:line="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- 27 -</w:t>
      </w:r>
    </w:p>
    <w:p>
      <w:pPr>
        <w:sectPr>
          <w:pgSz w:w="11900" w:h="16838" w:orient="portrait"/>
          <w:cols w:equalWidth="0" w:num="1">
            <w:col w:w="11240"/>
          </w:cols>
          <w:pgMar w:left="320" w:top="1395" w:right="339" w:bottom="1440" w:gutter="0" w:footer="0" w:header="0"/>
        </w:sectPr>
      </w:pPr>
    </w:p>
    <w:bookmarkStart w:id="131" w:name="page132"/>
    <w:bookmarkEnd w:id="131"/>
    <w:p>
      <w:pPr>
        <w:ind w:left="2660"/>
        <w:spacing w:after="0"/>
        <w:rPr>
          <w:sz w:val="20"/>
          <w:szCs w:val="20"/>
          <w:color w:val="auto"/>
        </w:rPr>
      </w:pPr>
      <w:r>
        <w:rPr>
          <w:rFonts w:ascii="Arial" w:cs="Arial" w:eastAsia="Arial" w:hAnsi="Arial"/>
          <w:sz w:val="22"/>
          <w:szCs w:val="22"/>
          <w:b w:val="1"/>
          <w:bCs w:val="1"/>
          <w:color w:val="auto"/>
        </w:rPr>
        <w:t>CERTIFICATION OF AMENDED AND RESTATED BYLAWS</w:t>
      </w:r>
    </w:p>
    <w:p>
      <w:pPr>
        <w:spacing w:after="0" w:line="18" w:lineRule="exact"/>
        <w:rPr>
          <w:sz w:val="20"/>
          <w:szCs w:val="20"/>
          <w:color w:val="auto"/>
        </w:rPr>
      </w:pPr>
    </w:p>
    <w:p>
      <w:pPr>
        <w:ind w:left="5480"/>
        <w:spacing w:after="0"/>
        <w:rPr>
          <w:sz w:val="20"/>
          <w:szCs w:val="20"/>
          <w:color w:val="auto"/>
        </w:rPr>
      </w:pPr>
      <w:r>
        <w:rPr>
          <w:rFonts w:ascii="Arial" w:cs="Arial" w:eastAsia="Arial" w:hAnsi="Arial"/>
          <w:sz w:val="22"/>
          <w:szCs w:val="22"/>
          <w:b w:val="1"/>
          <w:bCs w:val="1"/>
          <w:color w:val="auto"/>
        </w:rPr>
        <w:t>OF</w:t>
      </w:r>
    </w:p>
    <w:p>
      <w:pPr>
        <w:jc w:val="center"/>
        <w:ind w:right="-19"/>
        <w:spacing w:after="0" w:line="230" w:lineRule="auto"/>
        <w:rPr>
          <w:sz w:val="20"/>
          <w:szCs w:val="20"/>
          <w:color w:val="auto"/>
        </w:rPr>
      </w:pPr>
      <w:r>
        <w:rPr>
          <w:rFonts w:ascii="Arial" w:cs="Arial" w:eastAsia="Arial" w:hAnsi="Arial"/>
          <w:sz w:val="22"/>
          <w:szCs w:val="22"/>
          <w:b w:val="1"/>
          <w:bCs w:val="1"/>
          <w:color w:val="auto"/>
        </w:rPr>
        <w:t>PUBMATIC, INC.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I, Andrew Woods, certify that I am General Counsel and Secretary of PubMatic, Inc., a Delaware corporation (the “</w:t>
      </w:r>
      <w:r>
        <w:rPr>
          <w:rFonts w:ascii="Arial" w:cs="Arial" w:eastAsia="Arial" w:hAnsi="Arial"/>
          <w:sz w:val="21"/>
          <w:szCs w:val="21"/>
          <w:b w:val="1"/>
          <w:bCs w:val="1"/>
          <w:i w:val="1"/>
          <w:iCs w:val="1"/>
          <w:color w:val="auto"/>
        </w:rPr>
        <w:t>Corporation</w:t>
      </w:r>
      <w:r>
        <w:rPr>
          <w:rFonts w:ascii="Arial" w:cs="Arial" w:eastAsia="Arial" w:hAnsi="Arial"/>
          <w:sz w:val="21"/>
          <w:szCs w:val="21"/>
          <w:color w:val="auto"/>
        </w:rPr>
        <w:t>”), that I am duly authorized to make and deliver this certification, that the attached Bylaws are a true and complete copy of the Amended and Restated Bylaws of the Corporation in effect as of the date of this certificate.</w:t>
      </w: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27, 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Andrew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-17780</wp:posOffset>
            </wp:positionV>
            <wp:extent cx="11544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spacing w:after="0" w:line="22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General Counsel and Secretary</w:t>
      </w:r>
    </w:p>
    <w:p>
      <w:pPr>
        <w:sectPr>
          <w:pgSz w:w="11900" w:h="16838" w:orient="portrait"/>
          <w:cols w:equalWidth="0" w:num="1">
            <w:col w:w="11240"/>
          </w:cols>
          <w:pgMar w:left="320" w:top="126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1654810</wp:posOffset>
            </wp:positionV>
            <wp:extent cx="1903095" cy="3600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19030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700"/>
        <w:spacing w:after="0"/>
        <w:rPr>
          <w:sz w:val="20"/>
          <w:szCs w:val="20"/>
          <w:color w:val="auto"/>
        </w:rPr>
      </w:pPr>
      <w:r>
        <w:rPr>
          <w:rFonts w:ascii="Arial" w:cs="Arial" w:eastAsia="Arial" w:hAnsi="Arial"/>
          <w:sz w:val="43"/>
          <w:szCs w:val="43"/>
          <w:b w:val="1"/>
          <w:bCs w:val="1"/>
          <w:color w:val="auto"/>
        </w:rPr>
        <w:t>2023 Executive Bonus Plan</w:t>
      </w:r>
    </w:p>
    <w:p>
      <w:pPr>
        <w:sectPr>
          <w:pgSz w:w="11900" w:h="16838" w:orient="portrait"/>
          <w:cols w:equalWidth="0" w:num="1">
            <w:col w:w="10120"/>
          </w:cols>
          <w:pgMar w:left="1440" w:top="1417"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b w:val="1"/>
          <w:bCs w:val="1"/>
          <w:color w:val="auto"/>
        </w:rPr>
        <w:t>Overview</w:t>
      </w:r>
    </w:p>
    <w:p>
      <w:pPr>
        <w:ind w:right="420"/>
        <w:spacing w:after="0" w:line="213" w:lineRule="auto"/>
        <w:rPr>
          <w:sz w:val="20"/>
          <w:szCs w:val="20"/>
          <w:color w:val="auto"/>
        </w:rPr>
      </w:pPr>
      <w:r>
        <w:rPr>
          <w:rFonts w:ascii="Arial" w:cs="Arial" w:eastAsia="Arial" w:hAnsi="Arial"/>
          <w:sz w:val="22"/>
          <w:szCs w:val="22"/>
          <w:color w:val="auto"/>
        </w:rPr>
        <w:t>This 2023 Executive Bonus Plan (“Plan”) specifies the terms and conditions under which eligible executive employees of PubMatic, Inc. and/or its subsidiaries (“Company” or “PubMatic”) may receive bonuses from the Company and how the Plan will be administered. This Plan states how bonuses are calculated, but it does not change your target bonus. Please read this entire document carefully, as important aspects of the Plan and your potential bonus are detailed in this document.</w:t>
      </w:r>
    </w:p>
    <w:p>
      <w:pPr>
        <w:spacing w:after="0" w:line="200" w:lineRule="exact"/>
        <w:rPr>
          <w:sz w:val="20"/>
          <w:szCs w:val="20"/>
          <w:color w:val="auto"/>
        </w:rPr>
      </w:pPr>
    </w:p>
    <w:p>
      <w:pPr>
        <w:ind w:right="720"/>
        <w:spacing w:after="0" w:line="225" w:lineRule="auto"/>
        <w:rPr>
          <w:sz w:val="20"/>
          <w:szCs w:val="20"/>
          <w:color w:val="auto"/>
        </w:rPr>
      </w:pPr>
      <w:r>
        <w:rPr>
          <w:rFonts w:ascii="Arial" w:cs="Arial" w:eastAsia="Arial" w:hAnsi="Arial"/>
          <w:sz w:val="22"/>
          <w:szCs w:val="22"/>
          <w:color w:val="auto"/>
        </w:rPr>
        <w:t>This Plan is for the plan year January 1, 2023 through December 31, 2023 (the “Plan Period”). The Company reserves the right to modify, extend, withdraw or terminate this Plan, prospectively, at any time.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 of Plan</w:t>
      </w:r>
    </w:p>
    <w:p>
      <w:pPr>
        <w:ind w:right="180"/>
        <w:spacing w:after="0" w:line="225" w:lineRule="auto"/>
        <w:rPr>
          <w:sz w:val="20"/>
          <w:szCs w:val="20"/>
          <w:color w:val="auto"/>
        </w:rPr>
      </w:pPr>
      <w:r>
        <w:rPr>
          <w:rFonts w:ascii="Arial" w:cs="Arial" w:eastAsia="Arial" w:hAnsi="Arial"/>
          <w:sz w:val="22"/>
          <w:szCs w:val="22"/>
          <w:color w:val="auto"/>
        </w:rPr>
        <w:t>The purpose of the Plan is to reward executive employees for achieving defined objectives and financial targets, to help the Company achieve its overall goals, and to retain high-performing employees.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Objectives</w:t>
      </w:r>
    </w:p>
    <w:p>
      <w:pPr>
        <w:spacing w:after="0"/>
        <w:rPr>
          <w:sz w:val="20"/>
          <w:szCs w:val="20"/>
          <w:color w:val="auto"/>
        </w:rPr>
      </w:pPr>
      <w:r>
        <w:rPr>
          <w:rFonts w:ascii="Arial" w:cs="Arial" w:eastAsia="Arial" w:hAnsi="Arial"/>
          <w:sz w:val="22"/>
          <w:szCs w:val="22"/>
          <w:color w:val="auto"/>
        </w:rPr>
        <w:t>The primary objective of the Plan is to promote business success by:</w:t>
      </w:r>
    </w:p>
    <w:p>
      <w:pPr>
        <w:spacing w:after="0" w:line="169"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Creating a uniform plan for executives that is consistent with the market.</w:t>
      </w:r>
    </w:p>
    <w:p>
      <w:pPr>
        <w:ind w:left="660" w:hanging="328"/>
        <w:spacing w:after="0" w:line="204"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Incenting executives to focus on Company targets and Individual Action Plans.</w:t>
      </w:r>
    </w:p>
    <w:p>
      <w:pPr>
        <w:ind w:left="660" w:right="580" w:hanging="328"/>
        <w:spacing w:after="0" w:line="225" w:lineRule="auto"/>
        <w:tabs>
          <w:tab w:leader="none" w:pos="655" w:val="left"/>
        </w:tabs>
        <w:numPr>
          <w:ilvl w:val="0"/>
          <w:numId w:val="50"/>
        </w:numPr>
        <w:rPr>
          <w:rFonts w:ascii="Arial" w:cs="Arial" w:eastAsia="Arial" w:hAnsi="Arial"/>
          <w:sz w:val="22"/>
          <w:szCs w:val="22"/>
          <w:color w:val="auto"/>
        </w:rPr>
      </w:pPr>
      <w:r>
        <w:rPr>
          <w:rFonts w:ascii="Arial" w:cs="Arial" w:eastAsia="Arial" w:hAnsi="Arial"/>
          <w:sz w:val="22"/>
          <w:szCs w:val="22"/>
          <w:color w:val="auto"/>
        </w:rPr>
        <w:t>Providing an opportunity to receive a bonus beyond current bonus targets, should the Company exceed performance targets.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and Eligibility</w:t>
      </w:r>
    </w:p>
    <w:p>
      <w:pPr>
        <w:spacing w:after="0"/>
        <w:rPr>
          <w:sz w:val="20"/>
          <w:szCs w:val="20"/>
          <w:color w:val="auto"/>
        </w:rPr>
      </w:pPr>
      <w:r>
        <w:rPr>
          <w:rFonts w:ascii="Arial" w:cs="Arial" w:eastAsia="Arial" w:hAnsi="Arial"/>
          <w:sz w:val="21"/>
          <w:szCs w:val="21"/>
          <w:color w:val="auto"/>
        </w:rPr>
        <w:t>An executive employee of the Company is eligible to participate in the Plan if the following eligibility criteria are met:</w:t>
      </w:r>
    </w:p>
    <w:p>
      <w:pPr>
        <w:spacing w:after="0" w:line="218" w:lineRule="exact"/>
        <w:rPr>
          <w:sz w:val="20"/>
          <w:szCs w:val="20"/>
          <w:color w:val="auto"/>
        </w:rPr>
      </w:pPr>
    </w:p>
    <w:p>
      <w:pPr>
        <w:ind w:left="660" w:right="340" w:hanging="328"/>
        <w:spacing w:after="0" w:line="204" w:lineRule="auto"/>
        <w:tabs>
          <w:tab w:leader="none" w:pos="655" w:val="left"/>
        </w:tabs>
        <w:numPr>
          <w:ilvl w:val="0"/>
          <w:numId w:val="51"/>
        </w:numPr>
        <w:rPr>
          <w:rFonts w:ascii="Arial" w:cs="Arial" w:eastAsia="Arial" w:hAnsi="Arial"/>
          <w:sz w:val="22"/>
          <w:szCs w:val="22"/>
          <w:color w:val="auto"/>
        </w:rPr>
      </w:pPr>
      <w:r>
        <w:rPr>
          <w:rFonts w:ascii="Arial" w:cs="Arial" w:eastAsia="Arial" w:hAnsi="Arial"/>
          <w:sz w:val="22"/>
          <w:szCs w:val="22"/>
          <w:color w:val="auto"/>
        </w:rPr>
        <w:t>You are one of the following executives of the Company: Chief Executive Officer; Chief Innovation Officer; Chief Financial Officer; President, Engineering; Chief Commercial Officer; Chief Growth Officer; Chief Technology Officer; Chief Marketing Officer; General Counsel; SVP, Product Management; SVP, Human Resources, or any other position as determined by the Board of Directors of the Company or a designated committee thereto (the “Board”).</w:t>
      </w:r>
    </w:p>
    <w:p>
      <w:pPr>
        <w:spacing w:after="0" w:line="4" w:lineRule="exact"/>
        <w:rPr>
          <w:rFonts w:ascii="Arial" w:cs="Arial" w:eastAsia="Arial" w:hAnsi="Arial"/>
          <w:sz w:val="22"/>
          <w:szCs w:val="22"/>
          <w:color w:val="auto"/>
        </w:rPr>
      </w:pPr>
    </w:p>
    <w:p>
      <w:pPr>
        <w:ind w:left="660" w:right="680" w:hanging="328"/>
        <w:spacing w:after="0" w:line="204" w:lineRule="auto"/>
        <w:tabs>
          <w:tab w:leader="none" w:pos="655"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executive employee is not an eligible participant under any other bonus plan generally available to employees of PubMatic for the Plan Period; and</w:t>
      </w:r>
    </w:p>
    <w:p>
      <w:pPr>
        <w:spacing w:after="0" w:line="1" w:lineRule="exact"/>
        <w:rPr>
          <w:rFonts w:ascii="Arial" w:cs="Arial" w:eastAsia="Arial" w:hAnsi="Arial"/>
          <w:sz w:val="22"/>
          <w:szCs w:val="22"/>
          <w:color w:val="auto"/>
        </w:rPr>
      </w:pPr>
    </w:p>
    <w:p>
      <w:pPr>
        <w:ind w:left="660" w:right="280" w:hanging="328"/>
        <w:spacing w:after="0" w:line="225" w:lineRule="auto"/>
        <w:tabs>
          <w:tab w:leader="none" w:pos="655"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employee is employed in Good Standing by PubMatic in a regular, full-time position through the Bonus Payment Date, subject to applicable law.</w:t>
      </w:r>
    </w:p>
    <w:p>
      <w:pPr>
        <w:spacing w:after="0" w:line="201" w:lineRule="exact"/>
        <w:rPr>
          <w:sz w:val="20"/>
          <w:szCs w:val="20"/>
          <w:color w:val="auto"/>
        </w:rPr>
      </w:pPr>
    </w:p>
    <w:p>
      <w:pPr>
        <w:spacing w:after="0" w:line="218" w:lineRule="auto"/>
        <w:rPr>
          <w:sz w:val="20"/>
          <w:szCs w:val="20"/>
          <w:color w:val="auto"/>
        </w:rPr>
      </w:pPr>
      <w:r>
        <w:rPr>
          <w:rFonts w:ascii="Arial" w:cs="Arial" w:eastAsia="Arial" w:hAnsi="Arial"/>
          <w:sz w:val="22"/>
          <w:szCs w:val="22"/>
          <w:color w:val="auto"/>
        </w:rPr>
        <w:t>Executive employees who are eligible to participate in the Plan are referred to herein as “Participants.” Each Participant must sign, date, and return a copy of this Plan to the Company before the Participant is eligible to receive any payments or benefits under the Plan, subject to applicable law.</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ind w:left="340"/>
        <w:spacing w:after="0"/>
        <w:rPr>
          <w:sz w:val="20"/>
          <w:szCs w:val="20"/>
          <w:color w:val="auto"/>
        </w:rPr>
      </w:pPr>
      <w:r>
        <w:rPr>
          <w:rFonts w:ascii="Arial" w:cs="Arial" w:eastAsia="Arial" w:hAnsi="Arial"/>
          <w:sz w:val="22"/>
          <w:szCs w:val="22"/>
          <w:u w:val="single" w:color="auto"/>
          <w:color w:val="auto"/>
        </w:rPr>
        <w:t>1H</w:t>
      </w:r>
      <w:r>
        <w:rPr>
          <w:rFonts w:ascii="Arial" w:cs="Arial" w:eastAsia="Arial" w:hAnsi="Arial"/>
          <w:sz w:val="22"/>
          <w:szCs w:val="22"/>
          <w:color w:val="auto"/>
        </w:rPr>
        <w:t>: The first half of a calendar year, meaning January 1 through June 30.</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2H:</w:t>
      </w:r>
      <w:r>
        <w:rPr>
          <w:rFonts w:ascii="Arial" w:cs="Arial" w:eastAsia="Arial" w:hAnsi="Arial"/>
          <w:sz w:val="22"/>
          <w:szCs w:val="22"/>
          <w:color w:val="auto"/>
        </w:rPr>
        <w:t xml:space="preserve"> The second half of a calendar year, meaning July 1 through December 31.</w:t>
      </w:r>
    </w:p>
    <w:p>
      <w:pPr>
        <w:spacing w:after="0" w:line="206" w:lineRule="exact"/>
        <w:rPr>
          <w:sz w:val="20"/>
          <w:szCs w:val="20"/>
          <w:color w:val="auto"/>
        </w:rPr>
      </w:pPr>
    </w:p>
    <w:p>
      <w:pPr>
        <w:ind w:left="340" w:right="1280"/>
        <w:spacing w:after="0" w:line="225" w:lineRule="auto"/>
        <w:rPr>
          <w:sz w:val="20"/>
          <w:szCs w:val="20"/>
          <w:color w:val="auto"/>
        </w:rPr>
      </w:pPr>
      <w:r>
        <w:rPr>
          <w:rFonts w:ascii="Arial" w:cs="Arial" w:eastAsia="Arial" w:hAnsi="Arial"/>
          <w:sz w:val="22"/>
          <w:szCs w:val="22"/>
          <w:u w:val="single" w:color="auto"/>
          <w:color w:val="auto"/>
        </w:rPr>
        <w:t>Adjusted Pre-Tax Net Income</w:t>
      </w:r>
      <w:r>
        <w:rPr>
          <w:rFonts w:ascii="Arial" w:cs="Arial" w:eastAsia="Arial" w:hAnsi="Arial"/>
          <w:sz w:val="22"/>
          <w:szCs w:val="22"/>
          <w:color w:val="auto"/>
        </w:rPr>
        <w:t>: Company’s earnings before income taxes and excluding stock-based compensation costs.</w:t>
      </w:r>
    </w:p>
    <w:p>
      <w:pPr>
        <w:spacing w:after="0" w:line="201" w:lineRule="exact"/>
        <w:rPr>
          <w:sz w:val="20"/>
          <w:szCs w:val="20"/>
          <w:color w:val="auto"/>
        </w:rPr>
      </w:pPr>
    </w:p>
    <w:p>
      <w:pPr>
        <w:ind w:left="340"/>
        <w:spacing w:after="0" w:line="225" w:lineRule="auto"/>
        <w:rPr>
          <w:sz w:val="20"/>
          <w:szCs w:val="20"/>
          <w:color w:val="auto"/>
        </w:rPr>
      </w:pPr>
      <w:r>
        <w:rPr>
          <w:rFonts w:ascii="Arial" w:cs="Arial" w:eastAsia="Arial" w:hAnsi="Arial"/>
          <w:sz w:val="22"/>
          <w:szCs w:val="22"/>
          <w:u w:val="single" w:color="auto"/>
          <w:color w:val="auto"/>
        </w:rPr>
        <w:t>Bonus Payment Date</w:t>
      </w:r>
      <w:r>
        <w:rPr>
          <w:rFonts w:ascii="Arial" w:cs="Arial" w:eastAsia="Arial" w:hAnsi="Arial"/>
          <w:sz w:val="22"/>
          <w:szCs w:val="22"/>
          <w:color w:val="auto"/>
        </w:rPr>
        <w:t>: The date occurring after the close of the annual review process as approved by the Board, which date shall be the next scheduled payroll on or after March 15, 2024.</w:t>
      </w:r>
    </w:p>
    <w:p>
      <w:pPr>
        <w:sectPr>
          <w:pgSz w:w="11900" w:h="16838" w:orient="portrait"/>
          <w:cols w:equalWidth="0" w:num="1">
            <w:col w:w="11120"/>
          </w:cols>
          <w:pgMar w:left="320" w:top="1325" w:right="459" w:bottom="1440" w:gutter="0" w:footer="0" w:header="0"/>
        </w:sectPr>
      </w:pPr>
    </w:p>
    <w:bookmarkStart w:id="134" w:name="page135"/>
    <w:bookmarkEnd w:id="134"/>
    <w:p>
      <w:pPr>
        <w:spacing w:after="0" w:line="165" w:lineRule="exact"/>
        <w:rPr>
          <w:sz w:val="20"/>
          <w:szCs w:val="20"/>
          <w:color w:val="auto"/>
        </w:rPr>
      </w:pPr>
    </w:p>
    <w:p>
      <w:pPr>
        <w:ind w:left="340" w:right="80"/>
        <w:spacing w:after="0" w:line="215" w:lineRule="auto"/>
        <w:rPr>
          <w:sz w:val="20"/>
          <w:szCs w:val="20"/>
          <w:color w:val="auto"/>
        </w:rPr>
      </w:pPr>
      <w:r>
        <w:rPr>
          <w:rFonts w:ascii="Arial" w:cs="Arial" w:eastAsia="Arial" w:hAnsi="Arial"/>
          <w:sz w:val="22"/>
          <w:szCs w:val="22"/>
          <w:u w:val="single" w:color="auto"/>
          <w:color w:val="auto"/>
        </w:rPr>
        <w:t>Bonus Pool</w:t>
      </w:r>
      <w:r>
        <w:rPr>
          <w:rFonts w:ascii="Arial" w:cs="Arial" w:eastAsia="Arial" w:hAnsi="Arial"/>
          <w:sz w:val="22"/>
          <w:szCs w:val="22"/>
          <w:color w:val="auto"/>
        </w:rPr>
        <w:t>: The total aggregate target bonus amount of all eligible Participants under this Plan as of the end of each half year. For an eligible Participant who works for less than entire half year, such Participant’s target bonus amount will be prorated based on the number of days worked during the Plan Period divided by the number of days in the half year.</w:t>
      </w:r>
    </w:p>
    <w:p>
      <w:pPr>
        <w:spacing w:after="0" w:line="201" w:lineRule="exact"/>
        <w:rPr>
          <w:sz w:val="20"/>
          <w:szCs w:val="20"/>
          <w:color w:val="auto"/>
        </w:rPr>
      </w:pPr>
    </w:p>
    <w:p>
      <w:pPr>
        <w:ind w:left="340" w:right="60"/>
        <w:spacing w:after="0" w:line="225" w:lineRule="auto"/>
        <w:rPr>
          <w:sz w:val="20"/>
          <w:szCs w:val="20"/>
          <w:color w:val="auto"/>
        </w:rPr>
      </w:pPr>
      <w:r>
        <w:rPr>
          <w:rFonts w:ascii="Arial" w:cs="Arial" w:eastAsia="Arial" w:hAnsi="Arial"/>
          <w:sz w:val="22"/>
          <w:szCs w:val="22"/>
          <w:u w:val="single" w:color="auto"/>
          <w:color w:val="auto"/>
        </w:rPr>
        <w:t>Good Standing</w:t>
      </w:r>
      <w:r>
        <w:rPr>
          <w:rFonts w:ascii="Arial" w:cs="Arial" w:eastAsia="Arial" w:hAnsi="Arial"/>
          <w:sz w:val="22"/>
          <w:szCs w:val="22"/>
          <w:color w:val="auto"/>
        </w:rPr>
        <w:t>: This means that you have neither received any written warnings for misconduct, nor been placed on a performance improvement plan during the Plan Period.</w:t>
      </w:r>
    </w:p>
    <w:p>
      <w:pPr>
        <w:spacing w:after="0" w:line="201" w:lineRule="exact"/>
        <w:rPr>
          <w:sz w:val="20"/>
          <w:szCs w:val="20"/>
          <w:color w:val="auto"/>
        </w:rPr>
      </w:pPr>
    </w:p>
    <w:p>
      <w:pPr>
        <w:ind w:left="340" w:right="100"/>
        <w:spacing w:after="0" w:line="225" w:lineRule="auto"/>
        <w:rPr>
          <w:sz w:val="20"/>
          <w:szCs w:val="20"/>
          <w:color w:val="auto"/>
        </w:rPr>
      </w:pPr>
      <w:r>
        <w:rPr>
          <w:rFonts w:ascii="Arial" w:cs="Arial" w:eastAsia="Arial" w:hAnsi="Arial"/>
          <w:sz w:val="22"/>
          <w:szCs w:val="22"/>
          <w:u w:val="single" w:color="auto"/>
          <w:color w:val="auto"/>
        </w:rPr>
        <w:t>Revenue (GAAP)</w:t>
      </w:r>
      <w:r>
        <w:rPr>
          <w:rFonts w:ascii="Arial" w:cs="Arial" w:eastAsia="Arial" w:hAnsi="Arial"/>
          <w:sz w:val="22"/>
          <w:szCs w:val="22"/>
          <w:color w:val="auto"/>
        </w:rPr>
        <w:t>: The actual revenue recognized by the Company, as defined by generally accepted accounting principles (GAAP).</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Bonus Target Amount</w:t>
      </w:r>
    </w:p>
    <w:p>
      <w:pPr>
        <w:ind w:right="660"/>
        <w:spacing w:after="0" w:line="225" w:lineRule="auto"/>
        <w:rPr>
          <w:sz w:val="20"/>
          <w:szCs w:val="20"/>
          <w:color w:val="auto"/>
        </w:rPr>
      </w:pPr>
      <w:r>
        <w:rPr>
          <w:rFonts w:ascii="Arial" w:cs="Arial" w:eastAsia="Arial" w:hAnsi="Arial"/>
          <w:sz w:val="22"/>
          <w:szCs w:val="22"/>
          <w:color w:val="auto"/>
        </w:rPr>
        <w:t>Please refer to your offer letter, promotion letter, employment contract, or similar documentation (“Employment Agreement”) for your bonus target, or contact Human Resources.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Criteria</w:t>
      </w:r>
    </w:p>
    <w:p>
      <w:pPr>
        <w:ind w:right="280"/>
        <w:spacing w:after="0" w:line="225" w:lineRule="auto"/>
        <w:rPr>
          <w:sz w:val="20"/>
          <w:szCs w:val="20"/>
          <w:color w:val="auto"/>
        </w:rPr>
      </w:pPr>
      <w:r>
        <w:rPr>
          <w:rFonts w:ascii="Arial" w:cs="Arial" w:eastAsia="Arial" w:hAnsi="Arial"/>
          <w:sz w:val="22"/>
          <w:szCs w:val="22"/>
          <w:color w:val="auto"/>
        </w:rPr>
        <w:t>A bonus may be paid to a Participant based on factors such as Company performance and continued employment with the Company in Good Standing through the Bonus Payment Date.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Components and Weightings</w:t>
      </w:r>
    </w:p>
    <w:p>
      <w:pPr>
        <w:spacing w:after="0"/>
        <w:rPr>
          <w:sz w:val="20"/>
          <w:szCs w:val="20"/>
          <w:color w:val="auto"/>
        </w:rPr>
      </w:pPr>
      <w:r>
        <w:rPr>
          <w:rFonts w:ascii="Arial" w:cs="Arial" w:eastAsia="Arial" w:hAnsi="Arial"/>
          <w:sz w:val="22"/>
          <w:szCs w:val="22"/>
          <w:color w:val="auto"/>
        </w:rPr>
        <w:t>The Plan consists of:</w:t>
      </w:r>
    </w:p>
    <w:p>
      <w:pPr>
        <w:spacing w:after="0" w:line="184" w:lineRule="exact"/>
        <w:rPr>
          <w:sz w:val="20"/>
          <w:szCs w:val="20"/>
          <w:color w:val="auto"/>
        </w:rPr>
      </w:pPr>
    </w:p>
    <w:p>
      <w:pPr>
        <w:ind w:right="220"/>
        <w:spacing w:after="0" w:line="225" w:lineRule="auto"/>
        <w:rPr>
          <w:sz w:val="20"/>
          <w:szCs w:val="20"/>
          <w:color w:val="auto"/>
        </w:rPr>
      </w:pPr>
      <w:r>
        <w:rPr>
          <w:rFonts w:ascii="Arial" w:cs="Arial" w:eastAsia="Arial" w:hAnsi="Arial"/>
          <w:sz w:val="22"/>
          <w:szCs w:val="22"/>
          <w:i w:val="1"/>
          <w:iCs w:val="1"/>
          <w:color w:val="auto"/>
        </w:rPr>
        <w:t>Financial Metric Component</w:t>
      </w:r>
      <w:r>
        <w:rPr>
          <w:rFonts w:ascii="Arial" w:cs="Arial" w:eastAsia="Arial" w:hAnsi="Arial"/>
          <w:sz w:val="22"/>
          <w:szCs w:val="22"/>
          <w:color w:val="auto"/>
        </w:rPr>
        <w:t>. The financial metric component of a Participant’s bonus will be weighted in the</w:t>
      </w:r>
      <w:r>
        <w:rPr>
          <w:rFonts w:ascii="Arial" w:cs="Arial" w:eastAsia="Arial" w:hAnsi="Arial"/>
          <w:sz w:val="22"/>
          <w:szCs w:val="22"/>
          <w:i w:val="1"/>
          <w:iCs w:val="1"/>
          <w:color w:val="auto"/>
        </w:rPr>
        <w:t xml:space="preserve"> </w:t>
      </w:r>
      <w:r>
        <w:rPr>
          <w:rFonts w:ascii="Arial" w:cs="Arial" w:eastAsia="Arial" w:hAnsi="Arial"/>
          <w:sz w:val="22"/>
          <w:szCs w:val="22"/>
          <w:color w:val="auto"/>
        </w:rPr>
        <w:t>aggregate at 100%, and annual attainment will be measured based on the half-year Company performance targets and weightings specified in in Exhibit A.</w:t>
      </w:r>
    </w:p>
    <w:p>
      <w:pPr>
        <w:spacing w:after="0" w:line="180" w:lineRule="exact"/>
        <w:rPr>
          <w:sz w:val="20"/>
          <w:szCs w:val="20"/>
          <w:color w:val="auto"/>
        </w:rPr>
      </w:pPr>
    </w:p>
    <w:p>
      <w:pPr>
        <w:spacing w:after="0" w:line="217" w:lineRule="auto"/>
        <w:rPr>
          <w:sz w:val="20"/>
          <w:szCs w:val="20"/>
          <w:color w:val="auto"/>
        </w:rPr>
      </w:pPr>
      <w:r>
        <w:rPr>
          <w:rFonts w:ascii="Arial" w:cs="Arial" w:eastAsia="Arial" w:hAnsi="Arial"/>
          <w:sz w:val="22"/>
          <w:szCs w:val="22"/>
          <w:i w:val="1"/>
          <w:iCs w:val="1"/>
          <w:color w:val="auto"/>
        </w:rPr>
        <w:t xml:space="preserve">Performance Based Adjustments to the Bonus Pool. </w:t>
      </w:r>
      <w:r>
        <w:rPr>
          <w:rFonts w:ascii="Arial" w:cs="Arial" w:eastAsia="Arial" w:hAnsi="Arial"/>
          <w:sz w:val="22"/>
          <w:szCs w:val="22"/>
          <w:color w:val="auto"/>
        </w:rPr>
        <w:t>The Adjusted Pre-Tax Net Income metric will be used to</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 the half year adjustment to the Bonus Pool based on the targets specified in Exhibit B. Any adjustments to the Bonus Pool amount will be distributed on a prorated basis to all eligible Participants based on their respective bonus target amounts. This adjustment will occur after the calculation of the preliminary bonus amount detailed in the “Bonus Calculation” section below.</w:t>
      </w:r>
    </w:p>
    <w:p>
      <w:pPr>
        <w:spacing w:after="0" w:line="201" w:lineRule="exact"/>
        <w:rPr>
          <w:sz w:val="20"/>
          <w:szCs w:val="20"/>
          <w:color w:val="auto"/>
        </w:rPr>
      </w:pPr>
    </w:p>
    <w:p>
      <w:pPr>
        <w:jc w:val="both"/>
        <w:ind w:right="680"/>
        <w:spacing w:after="0" w:line="236" w:lineRule="auto"/>
        <w:rPr>
          <w:sz w:val="20"/>
          <w:szCs w:val="20"/>
          <w:color w:val="auto"/>
        </w:rPr>
      </w:pPr>
      <w:r>
        <w:rPr>
          <w:rFonts w:ascii="Arial" w:cs="Arial" w:eastAsia="Arial" w:hAnsi="Arial"/>
          <w:sz w:val="21"/>
          <w:szCs w:val="21"/>
          <w:color w:val="auto"/>
        </w:rPr>
        <w:t>For example, if the Bonus Pool is $600k for 1H and a Participant has a $60,000 target bonus, the Participant’s preliminary bonus amount will be subject to 10.0% of any adjustment, positive or negative, to the Bonus Pool.</w:t>
      </w:r>
    </w:p>
    <w:p>
      <w:pPr>
        <w:spacing w:after="0" w:line="200" w:lineRule="exact"/>
        <w:rPr>
          <w:sz w:val="20"/>
          <w:szCs w:val="20"/>
          <w:color w:val="auto"/>
        </w:rPr>
      </w:pPr>
    </w:p>
    <w:p>
      <w:pPr>
        <w:ind w:right="160"/>
        <w:spacing w:after="0" w:line="320" w:lineRule="auto"/>
        <w:rPr>
          <w:sz w:val="20"/>
          <w:szCs w:val="20"/>
          <w:color w:val="auto"/>
        </w:rPr>
      </w:pPr>
      <w:r>
        <w:rPr>
          <w:rFonts w:ascii="Arial" w:cs="Arial" w:eastAsia="Arial" w:hAnsi="Arial"/>
          <w:sz w:val="22"/>
          <w:szCs w:val="22"/>
          <w:color w:val="auto"/>
        </w:rPr>
        <w:t xml:space="preserve">For each component of the Plan, a 50% weighting will apply to 1H 2023 and a 50% weighting will apply to 2H 2023. </w:t>
      </w:r>
      <w:r>
        <w:rPr>
          <w:rFonts w:ascii="Arial" w:cs="Arial" w:eastAsia="Arial" w:hAnsi="Arial"/>
          <w:sz w:val="22"/>
          <w:szCs w:val="22"/>
          <w:b w:val="1"/>
          <w:bCs w:val="1"/>
          <w:color w:val="auto"/>
        </w:rPr>
        <w:t>Minimum Achievement</w:t>
      </w:r>
    </w:p>
    <w:p>
      <w:pPr>
        <w:spacing w:after="0" w:line="225" w:lineRule="auto"/>
        <w:rPr>
          <w:sz w:val="20"/>
          <w:szCs w:val="20"/>
          <w:color w:val="auto"/>
        </w:rPr>
      </w:pPr>
      <w:r>
        <w:rPr>
          <w:rFonts w:ascii="Arial" w:cs="Arial" w:eastAsia="Arial" w:hAnsi="Arial"/>
          <w:sz w:val="22"/>
          <w:szCs w:val="22"/>
          <w:color w:val="auto"/>
        </w:rPr>
        <w:t>In order for any bonus payout to be earned for the year, the Financial Metric Component in the aggregate for the year must equal or exceed 80% of the target specified in Exhibit A hereto, prior to applying any multipliers.</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Multipliers</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Multipliers will be applied to achievement on financial metrics based on Company performance for each half-year.</w:t>
      </w:r>
    </w:p>
    <w:p>
      <w:pPr>
        <w:spacing w:after="0" w:line="71" w:lineRule="exact"/>
        <w:rPr>
          <w:sz w:val="20"/>
          <w:szCs w:val="20"/>
          <w:color w:val="auto"/>
        </w:rPr>
      </w:pPr>
    </w:p>
    <w:p>
      <w:pPr>
        <w:ind w:right="280"/>
        <w:spacing w:after="0" w:line="225" w:lineRule="auto"/>
        <w:rPr>
          <w:sz w:val="20"/>
          <w:szCs w:val="20"/>
          <w:color w:val="auto"/>
        </w:rPr>
      </w:pPr>
      <w:r>
        <w:rPr>
          <w:rFonts w:ascii="Arial" w:cs="Arial" w:eastAsia="Arial" w:hAnsi="Arial"/>
          <w:sz w:val="22"/>
          <w:szCs w:val="22"/>
          <w:color w:val="auto"/>
        </w:rPr>
        <w:t xml:space="preserve">The resulting percentage achievement, as applicable, </w:t>
      </w:r>
      <w:r>
        <w:rPr>
          <w:rFonts w:ascii="Arial" w:cs="Arial" w:eastAsia="Arial" w:hAnsi="Arial"/>
          <w:sz w:val="17"/>
          <w:szCs w:val="17"/>
          <w:color w:val="auto"/>
        </w:rPr>
        <w:t>will</w:t>
      </w:r>
      <w:r>
        <w:rPr>
          <w:rFonts w:ascii="Arial" w:cs="Arial" w:eastAsia="Arial" w:hAnsi="Arial"/>
          <w:sz w:val="22"/>
          <w:szCs w:val="22"/>
          <w:color w:val="auto"/>
        </w:rPr>
        <w:t xml:space="preserve"> factor into the Participant’s bonus payout for the year per the table below.</w:t>
      </w:r>
    </w:p>
    <w:p>
      <w:pPr>
        <w:spacing w:after="0" w:line="66" w:lineRule="exact"/>
        <w:rPr>
          <w:sz w:val="20"/>
          <w:szCs w:val="20"/>
          <w:color w:val="auto"/>
        </w:rPr>
      </w:pPr>
    </w:p>
    <w:p>
      <w:pPr>
        <w:ind w:right="380"/>
        <w:spacing w:after="0" w:line="218" w:lineRule="auto"/>
        <w:rPr>
          <w:sz w:val="20"/>
          <w:szCs w:val="20"/>
          <w:color w:val="auto"/>
        </w:rPr>
      </w:pPr>
      <w:r>
        <w:rPr>
          <w:rFonts w:ascii="Arial" w:cs="Arial" w:eastAsia="Arial" w:hAnsi="Arial"/>
          <w:sz w:val="22"/>
          <w:szCs w:val="22"/>
          <w:color w:val="auto"/>
        </w:rPr>
        <w:t>Multipliers are calculated using the square method: multiplying the achievement against itself to come up with the final achievement. For example, an achievement of 110% would yield an achievement used for end of year calculation of 121% (110% x 110%= 121%).</w:t>
      </w:r>
    </w:p>
    <w:p>
      <w:pPr>
        <w:sectPr>
          <w:pgSz w:w="11900" w:h="16838" w:orient="portrait"/>
          <w:cols w:equalWidth="0" w:num="1">
            <w:col w:w="11180"/>
          </w:cols>
          <w:pgMar w:left="320" w:top="1440" w:right="399" w:bottom="1440" w:gutter="0" w:footer="0" w:header="0"/>
        </w:sectPr>
      </w:pPr>
    </w:p>
    <w:bookmarkStart w:id="135" w:name="page136"/>
    <w:bookmarkEnd w:id="135"/>
    <w:p>
      <w:pPr>
        <w:spacing w:after="0" w:line="35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Multiplier Table Example</w:t>
      </w:r>
    </w:p>
    <w:p>
      <w:pPr>
        <w:spacing w:after="0" w:line="200" w:lineRule="exact"/>
        <w:rPr>
          <w:sz w:val="20"/>
          <w:szCs w:val="20"/>
          <w:color w:val="auto"/>
        </w:rPr>
      </w:pPr>
    </w:p>
    <w:p>
      <w:pPr>
        <w:spacing w:after="0" w:line="271" w:lineRule="exact"/>
        <w:rPr>
          <w:sz w:val="20"/>
          <w:szCs w:val="20"/>
          <w:color w:val="auto"/>
        </w:rPr>
      </w:pPr>
    </w:p>
    <w:tbl>
      <w:tblPr>
        <w:tblLayout w:type="fixed"/>
        <w:tblInd w:w="270" w:type="dxa"/>
        <w:tblCellMar>
          <w:top w:w="0" w:type="dxa"/>
          <w:left w:w="0" w:type="dxa"/>
          <w:bottom w:w="0" w:type="dxa"/>
          <w:right w:w="0" w:type="dxa"/>
        </w:tblCellMar>
      </w:tblPr>
      <w:tr>
        <w:trPr>
          <w:trHeight w:val="261"/>
        </w:trPr>
        <w:tc>
          <w:tcPr>
            <w:tcW w:w="35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Achievement in Aggregate</w:t>
            </w:r>
          </w:p>
        </w:tc>
        <w:tc>
          <w:tcPr>
            <w:tcW w:w="3480" w:type="dxa"/>
            <w:vAlign w:val="bottom"/>
            <w:tcBorders>
              <w:top w:val="single" w:sz="8" w:color="auto"/>
              <w:right w:val="single" w:sz="8" w:color="auto"/>
            </w:tcBorders>
            <w:vMerge w:val="restart"/>
          </w:tcPr>
          <w:p>
            <w:pPr>
              <w:ind w:left="280"/>
              <w:spacing w:after="0"/>
              <w:rPr>
                <w:sz w:val="20"/>
                <w:szCs w:val="20"/>
                <w:color w:val="auto"/>
              </w:rPr>
            </w:pPr>
            <w:r>
              <w:rPr>
                <w:rFonts w:ascii="Arial" w:cs="Arial" w:eastAsia="Arial" w:hAnsi="Arial"/>
                <w:sz w:val="20"/>
                <w:szCs w:val="20"/>
                <w:color w:val="auto"/>
              </w:rPr>
              <w:t>Multiplier</w:t>
            </w:r>
          </w:p>
        </w:tc>
        <w:tc>
          <w:tcPr>
            <w:tcW w:w="3500" w:type="dxa"/>
            <w:vAlign w:val="bottom"/>
            <w:tcBorders>
              <w:top w:val="single" w:sz="8" w:color="auto"/>
              <w:right w:val="single" w:sz="8" w:color="auto"/>
            </w:tcBorders>
            <w:vMerge w:val="restart"/>
          </w:tcPr>
          <w:p>
            <w:pPr>
              <w:ind w:left="260"/>
              <w:spacing w:after="0"/>
              <w:rPr>
                <w:sz w:val="20"/>
                <w:szCs w:val="20"/>
                <w:color w:val="auto"/>
              </w:rPr>
            </w:pPr>
            <w:r>
              <w:rPr>
                <w:rFonts w:ascii="Arial" w:cs="Arial" w:eastAsia="Arial" w:hAnsi="Arial"/>
                <w:sz w:val="20"/>
                <w:szCs w:val="20"/>
                <w:color w:val="auto"/>
              </w:rPr>
              <w:t>Final Achievement Result</w:t>
            </w:r>
          </w:p>
        </w:tc>
        <w:tc>
          <w:tcPr>
            <w:tcW w:w="0" w:type="dxa"/>
            <w:vAlign w:val="bottom"/>
          </w:tcPr>
          <w:p>
            <w:pPr>
              <w:spacing w:after="0"/>
              <w:rPr>
                <w:sz w:val="1"/>
                <w:szCs w:val="1"/>
                <w:color w:val="auto"/>
              </w:rPr>
            </w:pPr>
          </w:p>
        </w:tc>
      </w:tr>
      <w:tr>
        <w:trPr>
          <w:trHeight w:val="135"/>
        </w:trPr>
        <w:tc>
          <w:tcPr>
            <w:tcW w:w="3500" w:type="dxa"/>
            <w:vAlign w:val="bottom"/>
            <w:tcBorders>
              <w:left w:val="single" w:sz="8" w:color="auto"/>
              <w:right w:val="single" w:sz="8" w:color="auto"/>
            </w:tcBorders>
          </w:tcPr>
          <w:p>
            <w:pPr>
              <w:spacing w:after="0"/>
              <w:rPr>
                <w:sz w:val="11"/>
                <w:szCs w:val="11"/>
                <w:color w:val="auto"/>
              </w:rPr>
            </w:pPr>
          </w:p>
        </w:tc>
        <w:tc>
          <w:tcPr>
            <w:tcW w:w="3480" w:type="dxa"/>
            <w:vAlign w:val="bottom"/>
            <w:tcBorders>
              <w:right w:val="single" w:sz="8" w:color="auto"/>
            </w:tcBorders>
            <w:vMerge w:val="continue"/>
          </w:tcPr>
          <w:p>
            <w:pPr>
              <w:spacing w:after="0"/>
              <w:rPr>
                <w:sz w:val="11"/>
                <w:szCs w:val="11"/>
                <w:color w:val="auto"/>
              </w:rPr>
            </w:pPr>
          </w:p>
        </w:tc>
        <w:tc>
          <w:tcPr>
            <w:tcW w:w="3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3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80%</w:t>
            </w:r>
          </w:p>
        </w:tc>
        <w:tc>
          <w:tcPr>
            <w:tcW w:w="34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80%</w:t>
            </w:r>
          </w:p>
        </w:tc>
        <w:tc>
          <w:tcPr>
            <w:tcW w:w="3500" w:type="dxa"/>
            <w:vAlign w:val="bottom"/>
            <w:tcBorders>
              <w:right w:val="single" w:sz="8" w:color="auto"/>
            </w:tcBorders>
            <w:vMerge w:val="restart"/>
          </w:tcPr>
          <w:p>
            <w:pPr>
              <w:ind w:left="340"/>
              <w:spacing w:after="0"/>
              <w:rPr>
                <w:sz w:val="20"/>
                <w:szCs w:val="20"/>
                <w:color w:val="auto"/>
              </w:rPr>
            </w:pPr>
            <w:r>
              <w:rPr>
                <w:rFonts w:ascii="Arial" w:cs="Arial" w:eastAsia="Arial" w:hAnsi="Arial"/>
                <w:sz w:val="20"/>
                <w:szCs w:val="20"/>
                <w:color w:val="auto"/>
              </w:rPr>
              <w:t>64.0%</w:t>
            </w:r>
          </w:p>
        </w:tc>
        <w:tc>
          <w:tcPr>
            <w:tcW w:w="0" w:type="dxa"/>
            <w:vAlign w:val="bottom"/>
          </w:tcPr>
          <w:p>
            <w:pPr>
              <w:spacing w:after="0"/>
              <w:rPr>
                <w:sz w:val="1"/>
                <w:szCs w:val="1"/>
                <w:color w:val="auto"/>
              </w:rPr>
            </w:pPr>
          </w:p>
        </w:tc>
      </w:tr>
      <w:tr>
        <w:trPr>
          <w:trHeight w:val="153"/>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94%</w:t>
            </w:r>
          </w:p>
        </w:tc>
        <w:tc>
          <w:tcPr>
            <w:tcW w:w="34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94%</w:t>
            </w:r>
          </w:p>
        </w:tc>
        <w:tc>
          <w:tcPr>
            <w:tcW w:w="350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88.4%</w:t>
            </w:r>
          </w:p>
        </w:tc>
        <w:tc>
          <w:tcPr>
            <w:tcW w:w="0" w:type="dxa"/>
            <w:vAlign w:val="bottom"/>
          </w:tcPr>
          <w:p>
            <w:pPr>
              <w:spacing w:after="0"/>
              <w:rPr>
                <w:sz w:val="1"/>
                <w:szCs w:val="1"/>
                <w:color w:val="auto"/>
              </w:rPr>
            </w:pPr>
          </w:p>
        </w:tc>
      </w:tr>
      <w:tr>
        <w:trPr>
          <w:trHeight w:val="158"/>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3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95%</w:t>
            </w:r>
          </w:p>
        </w:tc>
        <w:tc>
          <w:tcPr>
            <w:tcW w:w="34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95%</w:t>
            </w:r>
          </w:p>
        </w:tc>
        <w:tc>
          <w:tcPr>
            <w:tcW w:w="3500" w:type="dxa"/>
            <w:vAlign w:val="bottom"/>
            <w:tcBorders>
              <w:right w:val="single" w:sz="8" w:color="auto"/>
            </w:tcBorders>
            <w:vMerge w:val="restart"/>
          </w:tcPr>
          <w:p>
            <w:pPr>
              <w:ind w:left="340"/>
              <w:spacing w:after="0"/>
              <w:rPr>
                <w:sz w:val="20"/>
                <w:szCs w:val="20"/>
                <w:color w:val="auto"/>
              </w:rPr>
            </w:pPr>
            <w:r>
              <w:rPr>
                <w:rFonts w:ascii="Arial" w:cs="Arial" w:eastAsia="Arial" w:hAnsi="Arial"/>
                <w:sz w:val="20"/>
                <w:szCs w:val="20"/>
                <w:color w:val="auto"/>
              </w:rPr>
              <w:t>90.3%</w:t>
            </w:r>
          </w:p>
        </w:tc>
        <w:tc>
          <w:tcPr>
            <w:tcW w:w="0" w:type="dxa"/>
            <w:vAlign w:val="bottom"/>
          </w:tcPr>
          <w:p>
            <w:pPr>
              <w:spacing w:after="0"/>
              <w:rPr>
                <w:sz w:val="1"/>
                <w:szCs w:val="1"/>
                <w:color w:val="auto"/>
              </w:rPr>
            </w:pPr>
          </w:p>
        </w:tc>
      </w:tr>
      <w:tr>
        <w:trPr>
          <w:trHeight w:val="153"/>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100%</w:t>
            </w:r>
          </w:p>
        </w:tc>
        <w:tc>
          <w:tcPr>
            <w:tcW w:w="34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100%</w:t>
            </w:r>
          </w:p>
        </w:tc>
        <w:tc>
          <w:tcPr>
            <w:tcW w:w="3500" w:type="dxa"/>
            <w:vAlign w:val="bottom"/>
            <w:tcBorders>
              <w:right w:val="single" w:sz="8" w:color="auto"/>
            </w:tcBorders>
            <w:vMerge w:val="restart"/>
          </w:tcPr>
          <w:p>
            <w:pPr>
              <w:ind w:left="340"/>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r>
        <w:trPr>
          <w:trHeight w:val="153"/>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110%</w:t>
            </w:r>
          </w:p>
        </w:tc>
        <w:tc>
          <w:tcPr>
            <w:tcW w:w="34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110%</w:t>
            </w:r>
          </w:p>
        </w:tc>
        <w:tc>
          <w:tcPr>
            <w:tcW w:w="3500" w:type="dxa"/>
            <w:vAlign w:val="bottom"/>
            <w:tcBorders>
              <w:right w:val="single" w:sz="8" w:color="auto"/>
            </w:tcBorders>
            <w:vMerge w:val="restart"/>
          </w:tcPr>
          <w:p>
            <w:pPr>
              <w:ind w:left="340"/>
              <w:spacing w:after="0"/>
              <w:rPr>
                <w:sz w:val="20"/>
                <w:szCs w:val="20"/>
                <w:color w:val="auto"/>
              </w:rPr>
            </w:pPr>
            <w:r>
              <w:rPr>
                <w:rFonts w:ascii="Arial" w:cs="Arial" w:eastAsia="Arial" w:hAnsi="Arial"/>
                <w:sz w:val="20"/>
                <w:szCs w:val="20"/>
                <w:color w:val="auto"/>
              </w:rPr>
              <w:t>121.0%</w:t>
            </w:r>
          </w:p>
        </w:tc>
        <w:tc>
          <w:tcPr>
            <w:tcW w:w="0" w:type="dxa"/>
            <w:vAlign w:val="bottom"/>
          </w:tcPr>
          <w:p>
            <w:pPr>
              <w:spacing w:after="0"/>
              <w:rPr>
                <w:sz w:val="1"/>
                <w:szCs w:val="1"/>
                <w:color w:val="auto"/>
              </w:rPr>
            </w:pPr>
          </w:p>
        </w:tc>
      </w:tr>
      <w:tr>
        <w:trPr>
          <w:trHeight w:val="153"/>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134%</w:t>
            </w:r>
          </w:p>
        </w:tc>
        <w:tc>
          <w:tcPr>
            <w:tcW w:w="34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134%</w:t>
            </w:r>
          </w:p>
        </w:tc>
        <w:tc>
          <w:tcPr>
            <w:tcW w:w="3500" w:type="dxa"/>
            <w:vAlign w:val="bottom"/>
            <w:tcBorders>
              <w:right w:val="single" w:sz="8" w:color="auto"/>
            </w:tcBorders>
            <w:vMerge w:val="restart"/>
          </w:tcPr>
          <w:p>
            <w:pPr>
              <w:ind w:left="340"/>
              <w:spacing w:after="0"/>
              <w:rPr>
                <w:sz w:val="20"/>
                <w:szCs w:val="20"/>
                <w:color w:val="auto"/>
              </w:rPr>
            </w:pPr>
            <w:r>
              <w:rPr>
                <w:rFonts w:ascii="Arial" w:cs="Arial" w:eastAsia="Arial" w:hAnsi="Arial"/>
                <w:sz w:val="20"/>
                <w:szCs w:val="20"/>
                <w:color w:val="auto"/>
              </w:rPr>
              <w:t>179.6%</w:t>
            </w:r>
          </w:p>
        </w:tc>
        <w:tc>
          <w:tcPr>
            <w:tcW w:w="0" w:type="dxa"/>
            <w:vAlign w:val="bottom"/>
          </w:tcPr>
          <w:p>
            <w:pPr>
              <w:spacing w:after="0"/>
              <w:rPr>
                <w:sz w:val="1"/>
                <w:szCs w:val="1"/>
                <w:color w:val="auto"/>
              </w:rPr>
            </w:pPr>
          </w:p>
        </w:tc>
      </w:tr>
      <w:tr>
        <w:trPr>
          <w:trHeight w:val="153"/>
        </w:trPr>
        <w:tc>
          <w:tcPr>
            <w:tcW w:w="3500" w:type="dxa"/>
            <w:vAlign w:val="bottom"/>
            <w:tcBorders>
              <w:left w:val="single" w:sz="8" w:color="auto"/>
              <w:bottom w:val="single" w:sz="8" w:color="auto"/>
              <w:right w:val="single" w:sz="8" w:color="auto"/>
            </w:tcBorders>
          </w:tcPr>
          <w:p>
            <w:pPr>
              <w:spacing w:after="0"/>
              <w:rPr>
                <w:sz w:val="13"/>
                <w:szCs w:val="13"/>
                <w:color w:val="auto"/>
              </w:rPr>
            </w:pPr>
          </w:p>
        </w:tc>
        <w:tc>
          <w:tcPr>
            <w:tcW w:w="348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0"/>
        </w:trPr>
        <w:tc>
          <w:tcPr>
            <w:tcW w:w="350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color w:val="auto"/>
              </w:rPr>
              <w:t>185%</w:t>
            </w:r>
          </w:p>
        </w:tc>
        <w:tc>
          <w:tcPr>
            <w:tcW w:w="3480" w:type="dxa"/>
            <w:vAlign w:val="bottom"/>
            <w:tcBorders>
              <w:right w:val="single" w:sz="8" w:color="auto"/>
            </w:tcBorders>
          </w:tcPr>
          <w:p>
            <w:pPr>
              <w:ind w:left="140"/>
              <w:spacing w:after="0"/>
              <w:rPr>
                <w:sz w:val="20"/>
                <w:szCs w:val="20"/>
                <w:color w:val="auto"/>
              </w:rPr>
            </w:pPr>
            <w:r>
              <w:rPr>
                <w:rFonts w:ascii="Arial" w:cs="Arial" w:eastAsia="Arial" w:hAnsi="Arial"/>
                <w:sz w:val="20"/>
                <w:szCs w:val="20"/>
                <w:color w:val="auto"/>
              </w:rPr>
              <w:t>185%</w:t>
            </w:r>
          </w:p>
        </w:tc>
        <w:tc>
          <w:tcPr>
            <w:tcW w:w="350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342.3%</w:t>
            </w:r>
          </w:p>
        </w:tc>
        <w:tc>
          <w:tcPr>
            <w:tcW w:w="0" w:type="dxa"/>
            <w:vAlign w:val="bottom"/>
          </w:tcPr>
          <w:p>
            <w:pPr>
              <w:spacing w:after="0"/>
              <w:rPr>
                <w:sz w:val="1"/>
                <w:szCs w:val="1"/>
                <w:color w:val="auto"/>
              </w:rPr>
            </w:pPr>
          </w:p>
        </w:tc>
      </w:tr>
      <w:tr>
        <w:trPr>
          <w:trHeight w:val="153"/>
        </w:trPr>
        <w:tc>
          <w:tcPr>
            <w:tcW w:w="350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348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Bonus Calculation</w:t>
      </w:r>
    </w:p>
    <w:p>
      <w:pPr>
        <w:ind w:right="320"/>
        <w:spacing w:after="0" w:line="225" w:lineRule="auto"/>
        <w:rPr>
          <w:sz w:val="20"/>
          <w:szCs w:val="20"/>
          <w:color w:val="auto"/>
        </w:rPr>
      </w:pPr>
      <w:r>
        <w:rPr>
          <w:rFonts w:ascii="Arial" w:cs="Arial" w:eastAsia="Arial" w:hAnsi="Arial"/>
          <w:sz w:val="22"/>
          <w:szCs w:val="22"/>
          <w:color w:val="auto"/>
        </w:rPr>
        <w:t>The bonus calculation for each year is a two-step process. Bonus calculations are prorated for days worked in the Plan Period, subject to applicable law.</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Steps</w:t>
      </w:r>
    </w:p>
    <w:p>
      <w:pPr>
        <w:spacing w:after="0" w:line="201" w:lineRule="exact"/>
        <w:rPr>
          <w:sz w:val="20"/>
          <w:szCs w:val="20"/>
          <w:color w:val="auto"/>
        </w:rPr>
      </w:pPr>
    </w:p>
    <w:p>
      <w:pPr>
        <w:ind w:left="340" w:right="160" w:hanging="332"/>
        <w:spacing w:after="0" w:line="218" w:lineRule="auto"/>
        <w:tabs>
          <w:tab w:leader="none" w:pos="345"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financial metrics are calculated. If the weighted average is over the minimum achievement of 80% specified above, multipliers will be applied to the financial metric, which will be used to calculate the preliminary bonus amount.</w:t>
      </w:r>
    </w:p>
    <w:p>
      <w:pPr>
        <w:spacing w:after="0" w:line="174" w:lineRule="exact"/>
        <w:rPr>
          <w:rFonts w:ascii="Arial" w:cs="Arial" w:eastAsia="Arial" w:hAnsi="Arial"/>
          <w:sz w:val="22"/>
          <w:szCs w:val="22"/>
          <w:color w:val="auto"/>
        </w:rPr>
      </w:pPr>
    </w:p>
    <w:p>
      <w:pPr>
        <w:ind w:left="340" w:hanging="332"/>
        <w:spacing w:after="0" w:line="213" w:lineRule="auto"/>
        <w:tabs>
          <w:tab w:leader="none" w:pos="345" w:val="left"/>
        </w:tabs>
        <w:numPr>
          <w:ilvl w:val="0"/>
          <w:numId w:val="52"/>
        </w:numPr>
        <w:rPr>
          <w:rFonts w:ascii="Arial" w:cs="Arial" w:eastAsia="Arial" w:hAnsi="Arial"/>
          <w:sz w:val="22"/>
          <w:szCs w:val="22"/>
          <w:color w:val="auto"/>
        </w:rPr>
      </w:pPr>
      <w:r>
        <w:rPr>
          <w:rFonts w:ascii="Arial" w:cs="Arial" w:eastAsia="Arial" w:hAnsi="Arial"/>
          <w:sz w:val="22"/>
          <w:szCs w:val="22"/>
          <w:color w:val="auto"/>
        </w:rPr>
        <w:t>For every $1 above the Adjusted Pre-Tax Net Income target specified in Exhibit B hereto, [***] cents will be added to the Bonus Pool for 1H. For every $1 below the Adjusted Pre-Tax Net Income Target, 3 cents will be removed from the Bonus Pool for 1H (this amount will be revised as part of the 2H planning process). Any adjustments to the Bonus Pool will be applied on a prorated basis to the preliminary bonus amount and a final bonus amount will be calculated.</w:t>
      </w:r>
    </w:p>
    <w:p>
      <w:pPr>
        <w:spacing w:after="0" w:line="173" w:lineRule="exact"/>
        <w:rPr>
          <w:sz w:val="20"/>
          <w:szCs w:val="20"/>
          <w:color w:val="auto"/>
        </w:rPr>
      </w:pPr>
    </w:p>
    <w:p>
      <w:pPr>
        <w:ind w:right="140"/>
        <w:spacing w:after="0" w:line="218" w:lineRule="auto"/>
        <w:rPr>
          <w:sz w:val="20"/>
          <w:szCs w:val="20"/>
          <w:color w:val="auto"/>
        </w:rPr>
      </w:pPr>
      <w:r>
        <w:rPr>
          <w:rFonts w:ascii="Arial" w:cs="Arial" w:eastAsia="Arial" w:hAnsi="Arial"/>
          <w:sz w:val="22"/>
          <w:szCs w:val="22"/>
          <w:color w:val="auto"/>
        </w:rPr>
        <w:t>Bonus calculation for each Participant, including any Bonus Pool adjustment, for each half is capped at 250% of the Participant’s target bonus. Bonus payouts are then prorated based on the number of days worked during the Plan Period divided by the number of days in Plan Period.</w:t>
      </w:r>
    </w:p>
    <w:p>
      <w:pPr>
        <w:spacing w:after="0" w:line="175" w:lineRule="exact"/>
        <w:rPr>
          <w:sz w:val="20"/>
          <w:szCs w:val="20"/>
          <w:color w:val="auto"/>
        </w:rPr>
      </w:pPr>
    </w:p>
    <w:p>
      <w:pPr>
        <w:spacing w:after="0"/>
        <w:tabs>
          <w:tab w:leader="none" w:pos="4800" w:val="left"/>
        </w:tabs>
        <w:rPr>
          <w:sz w:val="20"/>
          <w:szCs w:val="20"/>
          <w:color w:val="auto"/>
        </w:rPr>
      </w:pPr>
      <w:r>
        <w:rPr>
          <w:rFonts w:ascii="Arial" w:cs="Arial" w:eastAsia="Arial" w:hAnsi="Arial"/>
          <w:sz w:val="22"/>
          <w:szCs w:val="22"/>
          <w:color w:val="auto"/>
        </w:rPr>
        <w:t>Bonus Calculation Example</w:t>
      </w:r>
      <w:r>
        <w:rPr>
          <w:sz w:val="20"/>
          <w:szCs w:val="20"/>
          <w:color w:val="auto"/>
        </w:rPr>
        <w:tab/>
      </w:r>
      <w:r>
        <w:rPr>
          <w:rFonts w:ascii="Arial" w:cs="Arial" w:eastAsia="Arial" w:hAnsi="Arial"/>
          <w:sz w:val="19"/>
          <w:szCs w:val="19"/>
          <w:color w:val="auto"/>
        </w:rPr>
        <w:t>[***]</w:t>
      </w:r>
    </w:p>
    <w:p>
      <w:pPr>
        <w:sectPr>
          <w:pgSz w:w="11900" w:h="16838" w:orient="portrait"/>
          <w:cols w:equalWidth="0" w:num="1">
            <w:col w:w="11160"/>
          </w:cols>
          <w:pgMar w:left="320" w:top="1440" w:right="419" w:bottom="1440" w:gutter="0" w:footer="0" w:header="0"/>
        </w:sectPr>
      </w:pPr>
    </w:p>
    <w:bookmarkStart w:id="136" w:name="page137"/>
    <w:bookmarkEnd w:id="136"/>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Company-Approved Leaves of Absence</w:t>
      </w:r>
    </w:p>
    <w:p>
      <w:pPr>
        <w:ind w:right="80"/>
        <w:spacing w:after="0" w:line="213" w:lineRule="auto"/>
        <w:rPr>
          <w:sz w:val="20"/>
          <w:szCs w:val="20"/>
          <w:color w:val="auto"/>
        </w:rPr>
      </w:pPr>
      <w:r>
        <w:rPr>
          <w:rFonts w:ascii="Arial" w:cs="Arial" w:eastAsia="Arial" w:hAnsi="Arial"/>
          <w:sz w:val="22"/>
          <w:szCs w:val="22"/>
          <w:color w:val="auto"/>
        </w:rPr>
        <w:t xml:space="preserve">If a Participant goes on a Company-approved leave of absence in excess of thirty (30) days, the Company may revise the Participant’s targets on a pro-rated basis from thirty (30) days following the last day of work prior to leave and the first day of work upon return from leave. Bonuses for a Plan Period during which a Participant is on a Company-approved leave of absence will be prorated and will </w:t>
      </w:r>
      <w:r>
        <w:rPr>
          <w:rFonts w:ascii="Arial" w:cs="Arial" w:eastAsia="Arial" w:hAnsi="Arial"/>
          <w:sz w:val="22"/>
          <w:szCs w:val="22"/>
          <w:u w:val="single" w:color="auto"/>
          <w:color w:val="auto"/>
        </w:rPr>
        <w:t>not</w:t>
      </w:r>
      <w:r>
        <w:rPr>
          <w:rFonts w:ascii="Arial" w:cs="Arial" w:eastAsia="Arial" w:hAnsi="Arial"/>
          <w:sz w:val="22"/>
          <w:szCs w:val="22"/>
          <w:color w:val="auto"/>
        </w:rPr>
        <w:t xml:space="preserve"> accrue after thirty (30) days while the Participant is on leave, subject to applicable law.</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Standards of Conduct</w:t>
      </w:r>
    </w:p>
    <w:p>
      <w:pPr>
        <w:ind w:right="360"/>
        <w:spacing w:after="0" w:line="218" w:lineRule="auto"/>
        <w:rPr>
          <w:sz w:val="20"/>
          <w:szCs w:val="20"/>
          <w:color w:val="auto"/>
        </w:rPr>
      </w:pPr>
      <w:r>
        <w:rPr>
          <w:rFonts w:ascii="Arial" w:cs="Arial" w:eastAsia="Arial" w:hAnsi="Arial"/>
          <w:sz w:val="22"/>
          <w:szCs w:val="22"/>
          <w:color w:val="auto"/>
        </w:rPr>
        <w:t>Any violation of the Company’s policies, including PubMatic’s Code of Business Conduct and Ethics and/or Anti-Bribery Policy, may result in a negative penalty on eligibility to accrue and/or receive bonuses under this Plan, and may subject the Participant to disciplinary action, up to and including termination of employment.</w:t>
      </w:r>
    </w:p>
    <w:p>
      <w:pPr>
        <w:spacing w:after="0" w:line="202" w:lineRule="exact"/>
        <w:rPr>
          <w:sz w:val="20"/>
          <w:szCs w:val="20"/>
          <w:color w:val="auto"/>
        </w:rPr>
      </w:pPr>
    </w:p>
    <w:p>
      <w:pPr>
        <w:ind w:right="900"/>
        <w:spacing w:after="0" w:line="320" w:lineRule="auto"/>
        <w:rPr>
          <w:sz w:val="20"/>
          <w:szCs w:val="20"/>
          <w:color w:val="auto"/>
        </w:rPr>
      </w:pPr>
      <w:r>
        <w:rPr>
          <w:rFonts w:ascii="Arial" w:cs="Arial" w:eastAsia="Arial" w:hAnsi="Arial"/>
          <w:sz w:val="22"/>
          <w:szCs w:val="22"/>
          <w:color w:val="auto"/>
        </w:rPr>
        <w:t xml:space="preserve">By signing below, Participant agrees to abide by any and all Company policies in effect during the Plan Year. </w:t>
      </w:r>
      <w:r>
        <w:rPr>
          <w:rFonts w:ascii="Arial" w:cs="Arial" w:eastAsia="Arial" w:hAnsi="Arial"/>
          <w:sz w:val="22"/>
          <w:szCs w:val="22"/>
          <w:b w:val="1"/>
          <w:bCs w:val="1"/>
          <w:color w:val="auto"/>
        </w:rPr>
        <w:t>Participants Who Become Ineligible or Who Are Terminated</w:t>
      </w:r>
    </w:p>
    <w:p>
      <w:pPr>
        <w:jc w:val="both"/>
        <w:spacing w:after="0" w:line="218" w:lineRule="auto"/>
        <w:rPr>
          <w:sz w:val="20"/>
          <w:szCs w:val="20"/>
          <w:color w:val="auto"/>
        </w:rPr>
      </w:pPr>
      <w:r>
        <w:rPr>
          <w:rFonts w:ascii="Arial" w:cs="Arial" w:eastAsia="Arial" w:hAnsi="Arial"/>
          <w:sz w:val="22"/>
          <w:szCs w:val="22"/>
          <w:color w:val="auto"/>
        </w:rPr>
        <w:t>If a Participant becomes ineligible to participate in the Plan because the Participant is transferred into a Company position that is not eligible to participate in this Plan, the Participant’s targets under this Plan will be pro-rated according to the last day of work under this Plan immediately prior to the transfer.</w:t>
      </w:r>
    </w:p>
    <w:p>
      <w:pPr>
        <w:spacing w:after="0" w:line="202" w:lineRule="exact"/>
        <w:rPr>
          <w:sz w:val="20"/>
          <w:szCs w:val="20"/>
          <w:color w:val="auto"/>
        </w:rPr>
      </w:pPr>
    </w:p>
    <w:p>
      <w:pPr>
        <w:ind w:right="120"/>
        <w:spacing w:after="0" w:line="221" w:lineRule="auto"/>
        <w:rPr>
          <w:sz w:val="20"/>
          <w:szCs w:val="20"/>
          <w:color w:val="auto"/>
        </w:rPr>
      </w:pPr>
      <w:r>
        <w:rPr>
          <w:rFonts w:ascii="Arial" w:cs="Arial" w:eastAsia="Arial" w:hAnsi="Arial"/>
          <w:sz w:val="21"/>
          <w:szCs w:val="21"/>
          <w:color w:val="auto"/>
        </w:rPr>
        <w:t>If a Participant becomes ineligible to participate in the Plan because the Participant’s employment with the Company terminates for any reason or the Participant is under notice of employment termination (whether given or received) prior to the applicable Bonus Payment Date (i.e., by voluntary resignation, involuntary termination, or death or otherwise), the Participant’s eligibility to earn any future bonus under this Plan shall cease on the Participant’s final day of employment, except to the extent prohibited by applicable law. To be clear, for a Participant to earn any bonus under this Plan, the Participant must be employed on the Bonus Payment Date, except as prohibited by law.</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Overpayment of Bonuses</w:t>
      </w:r>
    </w:p>
    <w:p>
      <w:pPr>
        <w:ind w:right="60"/>
        <w:spacing w:after="0" w:line="221" w:lineRule="auto"/>
        <w:rPr>
          <w:sz w:val="20"/>
          <w:szCs w:val="20"/>
          <w:color w:val="auto"/>
        </w:rPr>
      </w:pPr>
      <w:r>
        <w:rPr>
          <w:rFonts w:ascii="Arial" w:cs="Arial" w:eastAsia="Arial" w:hAnsi="Arial"/>
          <w:sz w:val="21"/>
          <w:szCs w:val="21"/>
          <w:color w:val="auto"/>
        </w:rPr>
        <w:t>By signing the Plan, the Participant agrees to promptly repay the Company for any bonus overpayment made to the Participant (e.g., due to miscalculation, payroll errors), and agrees to authorize the Company to make deductions from the Participant’s earned wages and/or future bonus payments under the Plan, to recover any overpayments. In the event the Participant and the Company cannot agree on repayment terms, the Company reserves all its legal rights, including its right to initiate legal action to recover the overpayment and/or to deduct the overpayment from the Participant’s earned wages (including the Participant’s final paycheck) in accordance with applicable laws.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Company’s Rights</w:t>
      </w:r>
    </w:p>
    <w:p>
      <w:pPr>
        <w:jc w:val="both"/>
        <w:ind w:right="360"/>
        <w:spacing w:after="0" w:line="229" w:lineRule="auto"/>
        <w:rPr>
          <w:sz w:val="20"/>
          <w:szCs w:val="20"/>
          <w:color w:val="auto"/>
        </w:rPr>
      </w:pPr>
      <w:r>
        <w:rPr>
          <w:rFonts w:ascii="Arial" w:cs="Arial" w:eastAsia="Arial" w:hAnsi="Arial"/>
          <w:sz w:val="21"/>
          <w:szCs w:val="21"/>
          <w:color w:val="auto"/>
        </w:rPr>
        <w:t>The Company reserves the right to accept and reject customers and proposed agreements with customers, to set and modify prices and discounts, and to otherwise make all decisions with respect to the Company’s business. No bonuses will be earned for any contracts not approved by, or otherwise rejected by, the Company for any reason.</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Administration</w:t>
      </w:r>
    </w:p>
    <w:p>
      <w:pPr>
        <w:ind w:right="340"/>
        <w:spacing w:after="0" w:line="213" w:lineRule="auto"/>
        <w:rPr>
          <w:sz w:val="20"/>
          <w:szCs w:val="20"/>
          <w:color w:val="auto"/>
        </w:rPr>
      </w:pPr>
      <w:r>
        <w:rPr>
          <w:rFonts w:ascii="Arial" w:cs="Arial" w:eastAsia="Arial" w:hAnsi="Arial"/>
          <w:sz w:val="22"/>
          <w:szCs w:val="22"/>
          <w:color w:val="auto"/>
        </w:rPr>
        <w:t>This Plan is authorized and administered by the Board, who has sole authority to interpret the Plan and to make or nullify any provision or procedure, as deemed necessary, for proper administration of the Plan, or a designed committee of the Board. Unless otherwise prohibited by law, any determination by the Board or its designated committee regarding the Plan or any of its provisions or procedures shall be final and binding as to all affected Participants.</w:t>
      </w:r>
    </w:p>
    <w:p>
      <w:pPr>
        <w:sectPr>
          <w:pgSz w:w="11900" w:h="16838" w:orient="portrait"/>
          <w:cols w:equalWidth="0" w:num="1">
            <w:col w:w="11240"/>
          </w:cols>
          <w:pgMar w:left="320" w:top="1440"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b w:val="1"/>
          <w:bCs w:val="1"/>
          <w:color w:val="auto"/>
        </w:rPr>
        <w:t>Plan Changes or Discontinuance</w:t>
      </w:r>
    </w:p>
    <w:p>
      <w:pPr>
        <w:ind w:right="180"/>
        <w:spacing w:after="0" w:line="210" w:lineRule="auto"/>
        <w:rPr>
          <w:sz w:val="20"/>
          <w:szCs w:val="20"/>
          <w:color w:val="auto"/>
        </w:rPr>
      </w:pPr>
      <w:r>
        <w:rPr>
          <w:rFonts w:ascii="Arial" w:cs="Arial" w:eastAsia="Arial" w:hAnsi="Arial"/>
          <w:sz w:val="22"/>
          <w:szCs w:val="22"/>
          <w:color w:val="auto"/>
        </w:rPr>
        <w:t>Except as limited by applicable law, the Company reserves the right to modify, discontinue, or otherwise change the Plan or any of its provisions at any time for any reason, including, without limitation, the right to modify or change a Participant’s weightings, targets/metrics, achievement criteria (including thresholds or caps for specific target achievement) or bonus payments to account, among other things, for Company financial performance, change in market conditions, client circumstances that are outside of Participant control, non-recurring charges, makegoods or other financial factors, as well as a Participant’s performance or failure to comply with the Company’s policies or procedures. Any such modification, discontinuance or change shall be made in a written document and provided to the affected Participant or Participants.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At-Will Employment</w:t>
      </w:r>
    </w:p>
    <w:p>
      <w:pPr>
        <w:ind w:right="600"/>
        <w:spacing w:after="0" w:line="215" w:lineRule="auto"/>
        <w:rPr>
          <w:sz w:val="20"/>
          <w:szCs w:val="20"/>
          <w:color w:val="auto"/>
        </w:rPr>
      </w:pPr>
      <w:r>
        <w:rPr>
          <w:rFonts w:ascii="Arial" w:cs="Arial" w:eastAsia="Arial" w:hAnsi="Arial"/>
          <w:sz w:val="22"/>
          <w:szCs w:val="22"/>
          <w:color w:val="auto"/>
        </w:rPr>
        <w:t>If Participant is an at-will employee, nothing in this Plan alters or modifies the at-will nature of a Participant’s employment with the Company, and the Participant and the Company have the right to terminate the at-will employment relationship at any time, with or without notice or cause, except as limited by applicable laws or the Participant’s Employment Agreement.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ind w:right="200"/>
        <w:spacing w:after="0" w:line="218" w:lineRule="auto"/>
        <w:rPr>
          <w:sz w:val="20"/>
          <w:szCs w:val="20"/>
          <w:color w:val="auto"/>
        </w:rPr>
      </w:pPr>
      <w:r>
        <w:rPr>
          <w:rFonts w:ascii="Arial" w:cs="Arial" w:eastAsia="Arial" w:hAnsi="Arial"/>
          <w:sz w:val="22"/>
          <w:szCs w:val="22"/>
          <w:color w:val="auto"/>
        </w:rPr>
        <w:t>This Plan and all agreements hereunder, including any attachments, schedules, exhibits, and subsequent modifications to the Plan, shall be governed by and construed in accordance with the laws of the State of California, USA without giving effect to that body of laws pertaining to conflict of laws.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w:t>
      </w:r>
    </w:p>
    <w:p>
      <w:pPr>
        <w:spacing w:after="0" w:line="210" w:lineRule="auto"/>
        <w:rPr>
          <w:sz w:val="20"/>
          <w:szCs w:val="20"/>
          <w:color w:val="auto"/>
        </w:rPr>
      </w:pPr>
      <w:r>
        <w:rPr>
          <w:rFonts w:ascii="Arial" w:cs="Arial" w:eastAsia="Arial" w:hAnsi="Arial"/>
          <w:sz w:val="22"/>
          <w:szCs w:val="22"/>
          <w:color w:val="auto"/>
        </w:rPr>
        <w:t>By signing below, you acknowledge that you have carefully read this document and understand its terms. Additionally, you agree that this document contains the entire agreement between you and the Company regarding your participation in a Company bonus plan for the Plan Period, and supersedes any and all other bonus plans or agreements or arrangements you have or may have had with the Company, including any such Company bonus plan covering the Company’s immediately prior fiscal year. To be clear, if you do not sign and return this Plan to the Company, you shall not be eligible to continue to receive bonus payments with regard to the Plan Period under the terms of any such prior bonus plans to which you have been subject.</w:t>
      </w:r>
    </w:p>
    <w:p>
      <w:pPr>
        <w:spacing w:after="0" w:line="206" w:lineRule="exact"/>
        <w:rPr>
          <w:sz w:val="20"/>
          <w:szCs w:val="20"/>
          <w:color w:val="auto"/>
        </w:rPr>
      </w:pPr>
    </w:p>
    <w:p>
      <w:pPr>
        <w:spacing w:after="0" w:line="211" w:lineRule="auto"/>
        <w:rPr>
          <w:sz w:val="20"/>
          <w:szCs w:val="20"/>
          <w:color w:val="auto"/>
        </w:rPr>
      </w:pPr>
      <w:r>
        <w:rPr>
          <w:rFonts w:ascii="Arial" w:cs="Arial" w:eastAsia="Arial" w:hAnsi="Arial"/>
          <w:sz w:val="22"/>
          <w:szCs w:val="22"/>
          <w:color w:val="auto"/>
        </w:rPr>
        <w:t>If you are signing this document by electronic signature such as Adobe Sign: (i) you agree, and it is your intent, to sign this document and affirmation by electronic signature such as Adobe Sign and by electronically submitting this document to the Company; (ii) you understand that your signing and submitting this record/document in this fashion is the legal equivalent of having placed your handwritten signature on the submitted record/document and this affirmation; and (iii) you understand and agree that by electronically signing and submitting this record/document in this fashion, you are affirming to the truth of the information contained therein.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___________________________________________________________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_________________________</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PubMatic</w:t>
      </w: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w:t>
      </w:r>
    </w:p>
    <w:p>
      <w:pPr>
        <w:spacing w:after="0"/>
        <w:rPr>
          <w:sz w:val="20"/>
          <w:szCs w:val="20"/>
          <w:color w:val="auto"/>
        </w:rPr>
      </w:pPr>
      <w:r>
        <w:rPr>
          <w:rFonts w:ascii="Arial" w:cs="Arial" w:eastAsia="Arial" w:hAnsi="Arial"/>
          <w:sz w:val="22"/>
          <w:szCs w:val="22"/>
          <w:color w:val="auto"/>
        </w:rPr>
        <w:t>Rajeev Goel, Co-Founder &amp; CEO</w:t>
      </w:r>
    </w:p>
    <w:p>
      <w:pPr>
        <w:sectPr>
          <w:pgSz w:w="11900" w:h="16838" w:orient="portrait"/>
          <w:cols w:equalWidth="0" w:num="1">
            <w:col w:w="11240"/>
          </w:cols>
          <w:pgMar w:left="320" w:top="1325"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A-- 2023 Company Performance Metric Targets</w:t>
      </w:r>
    </w:p>
    <w:p>
      <w:pPr>
        <w:spacing w:after="0" w:line="232" w:lineRule="exact"/>
        <w:rPr>
          <w:sz w:val="20"/>
          <w:szCs w:val="20"/>
          <w:color w:val="auto"/>
        </w:rPr>
      </w:pPr>
    </w:p>
    <w:p>
      <w:pPr>
        <w:ind w:right="220"/>
        <w:spacing w:after="0" w:line="218" w:lineRule="auto"/>
        <w:rPr>
          <w:sz w:val="20"/>
          <w:szCs w:val="20"/>
          <w:color w:val="auto"/>
        </w:rPr>
      </w:pPr>
      <w:r>
        <w:rPr>
          <w:rFonts w:ascii="Arial" w:cs="Arial" w:eastAsia="Arial" w:hAnsi="Arial"/>
          <w:sz w:val="22"/>
          <w:szCs w:val="22"/>
          <w:color w:val="auto"/>
        </w:rPr>
        <w:t>(***Portions of this exhibit have been redacted in compliance with Regulation S-K Item 601(b)(10). The omitted information is not material and is the type of information that the Company customarily and actually treats as private and confidential.)</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820" w:type="dxa"/>
            <w:vAlign w:val="bottom"/>
            <w:tcBorders>
              <w:left w:val="single" w:sz="8" w:color="4F81BD"/>
              <w:right w:val="single" w:sz="8" w:color="4F81BD"/>
            </w:tcBorders>
            <w:shd w:val="clear" w:color="auto" w:fill="4F81BD"/>
          </w:tcPr>
          <w:p>
            <w:pPr>
              <w:ind w:left="80"/>
              <w:spacing w:after="0"/>
              <w:rPr>
                <w:sz w:val="20"/>
                <w:szCs w:val="20"/>
                <w:color w:val="auto"/>
              </w:rPr>
            </w:pPr>
            <w:r>
              <w:rPr>
                <w:rFonts w:ascii="Arial" w:cs="Arial" w:eastAsia="Arial" w:hAnsi="Arial"/>
                <w:sz w:val="22"/>
                <w:szCs w:val="22"/>
                <w:color w:val="auto"/>
              </w:rPr>
              <w:t>Metric</w:t>
            </w:r>
          </w:p>
        </w:tc>
        <w:tc>
          <w:tcPr>
            <w:tcW w:w="248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22"/>
                <w:szCs w:val="22"/>
                <w:color w:val="auto"/>
                <w:w w:val="96"/>
              </w:rPr>
              <w:t>Weight</w:t>
            </w:r>
          </w:p>
        </w:tc>
        <w:tc>
          <w:tcPr>
            <w:tcW w:w="256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97"/>
              </w:rPr>
              <w:t>1H 2023 Target</w:t>
            </w:r>
          </w:p>
        </w:tc>
        <w:tc>
          <w:tcPr>
            <w:tcW w:w="340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97"/>
              </w:rPr>
              <w:t>2H 2023Target</w:t>
            </w:r>
          </w:p>
        </w:tc>
      </w:tr>
      <w:tr>
        <w:trPr>
          <w:trHeight w:val="270"/>
        </w:trPr>
        <w:tc>
          <w:tcPr>
            <w:tcW w:w="2820" w:type="dxa"/>
            <w:vAlign w:val="bottom"/>
            <w:tcBorders>
              <w:left w:val="single" w:sz="8" w:color="95B3D7"/>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22"/>
                <w:szCs w:val="22"/>
                <w:color w:val="auto"/>
              </w:rPr>
              <w:t>Revenue (GAAP)</w:t>
            </w:r>
          </w:p>
        </w:tc>
        <w:tc>
          <w:tcPr>
            <w:tcW w:w="2480" w:type="dxa"/>
            <w:vAlign w:val="bottom"/>
            <w:tcBorders>
              <w:bottom w:val="single" w:sz="8" w:color="95B3D7"/>
              <w:right w:val="single" w:sz="8" w:color="95B3D7"/>
            </w:tcBorders>
            <w:shd w:val="clear" w:color="auto" w:fill="DBE5F1"/>
          </w:tcPr>
          <w:p>
            <w:pPr>
              <w:jc w:val="right"/>
              <w:ind w:right="872"/>
              <w:spacing w:after="0"/>
              <w:rPr>
                <w:sz w:val="20"/>
                <w:szCs w:val="20"/>
                <w:color w:val="auto"/>
              </w:rPr>
            </w:pPr>
            <w:r>
              <w:rPr>
                <w:rFonts w:ascii="Arial" w:cs="Arial" w:eastAsia="Arial" w:hAnsi="Arial"/>
                <w:sz w:val="22"/>
                <w:szCs w:val="22"/>
                <w:b w:val="1"/>
                <w:bCs w:val="1"/>
                <w:color w:val="auto"/>
              </w:rPr>
              <w:t>100%</w:t>
            </w:r>
          </w:p>
        </w:tc>
        <w:tc>
          <w:tcPr>
            <w:tcW w:w="2560" w:type="dxa"/>
            <w:vAlign w:val="bottom"/>
            <w:tcBorders>
              <w:bottom w:val="single" w:sz="8" w:color="95B3D7"/>
              <w:right w:val="single" w:sz="8" w:color="95B3D7"/>
            </w:tcBorders>
            <w:shd w:val="clear" w:color="auto" w:fill="DBE5F1"/>
          </w:tcPr>
          <w:p>
            <w:pPr>
              <w:jc w:val="right"/>
              <w:ind w:right="992"/>
              <w:spacing w:after="0"/>
              <w:rPr>
                <w:sz w:val="20"/>
                <w:szCs w:val="20"/>
                <w:color w:val="auto"/>
              </w:rPr>
            </w:pPr>
            <w:r>
              <w:rPr>
                <w:rFonts w:ascii="Arial" w:cs="Arial" w:eastAsia="Arial" w:hAnsi="Arial"/>
                <w:sz w:val="22"/>
                <w:szCs w:val="22"/>
                <w:b w:val="1"/>
                <w:bCs w:val="1"/>
                <w:color w:val="auto"/>
              </w:rPr>
              <w:t>[***]</w:t>
            </w:r>
          </w:p>
        </w:tc>
        <w:tc>
          <w:tcPr>
            <w:tcW w:w="3400" w:type="dxa"/>
            <w:vAlign w:val="bottom"/>
            <w:tcBorders>
              <w:bottom w:val="single" w:sz="8" w:color="95B3D7"/>
              <w:right w:val="single" w:sz="8" w:color="95B3D7"/>
            </w:tcBorders>
            <w:shd w:val="clear" w:color="auto" w:fill="DBE5F1"/>
          </w:tcPr>
          <w:p>
            <w:pPr>
              <w:jc w:val="right"/>
              <w:ind w:right="1412"/>
              <w:spacing w:after="0"/>
              <w:rPr>
                <w:sz w:val="20"/>
                <w:szCs w:val="20"/>
                <w:color w:val="auto"/>
              </w:rPr>
            </w:pPr>
            <w:r>
              <w:rPr>
                <w:rFonts w:ascii="Arial" w:cs="Arial" w:eastAsia="Arial" w:hAnsi="Arial"/>
                <w:sz w:val="22"/>
                <w:szCs w:val="22"/>
                <w:b w:val="1"/>
                <w:bCs w:val="1"/>
                <w:color w:val="auto"/>
              </w:rPr>
              <w:t>[***]</w:t>
            </w:r>
          </w:p>
        </w:tc>
      </w:tr>
    </w:tbl>
    <w:p>
      <w:pPr>
        <w:sectPr>
          <w:pgSz w:w="11900" w:h="16838" w:orient="portrait"/>
          <w:cols w:equalWidth="0" w:num="1">
            <w:col w:w="11260"/>
          </w:cols>
          <w:pgMar w:left="320" w:top="1440" w:right="319" w:bottom="1440" w:gutter="0" w:footer="0" w:header="0"/>
        </w:sectPr>
      </w:pPr>
    </w:p>
    <w:bookmarkStart w:id="139" w:name="page140"/>
    <w:bookmarkEnd w:id="139"/>
    <w:p>
      <w:pPr>
        <w:jc w:val="center"/>
        <w:ind w:right="20"/>
        <w:spacing w:after="0"/>
        <w:rPr>
          <w:sz w:val="20"/>
          <w:szCs w:val="20"/>
          <w:color w:val="auto"/>
        </w:rPr>
      </w:pPr>
      <w:r>
        <w:rPr>
          <w:rFonts w:ascii="Arial" w:cs="Arial" w:eastAsia="Arial" w:hAnsi="Arial"/>
          <w:sz w:val="22"/>
          <w:szCs w:val="22"/>
          <w:b w:val="1"/>
          <w:bCs w:val="1"/>
          <w:color w:val="auto"/>
        </w:rPr>
        <w:t>Exhibit B – FY 2023 Adjusted Pre-Tax Net Income Achievement</w:t>
      </w:r>
    </w:p>
    <w:p>
      <w:pPr>
        <w:ind w:right="220"/>
        <w:spacing w:after="0" w:line="218" w:lineRule="auto"/>
        <w:rPr>
          <w:sz w:val="20"/>
          <w:szCs w:val="20"/>
          <w:color w:val="auto"/>
        </w:rPr>
      </w:pPr>
      <w:r>
        <w:rPr>
          <w:rFonts w:ascii="Arial" w:cs="Arial" w:eastAsia="Arial" w:hAnsi="Arial"/>
          <w:sz w:val="22"/>
          <w:szCs w:val="22"/>
          <w:color w:val="auto"/>
        </w:rPr>
        <w:t>(***Portions of this exhibit have been redacted in compliance with Regulation S-K Item 601(b)(10). The omitted information is not material and is the type of information that the Company customarily and actually treats as private and confidential.)</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620" w:type="dxa"/>
            <w:vAlign w:val="bottom"/>
            <w:tcBorders>
              <w:left w:val="single" w:sz="8" w:color="4F81BD"/>
              <w:right w:val="single" w:sz="8" w:color="4F81BD"/>
            </w:tcBorders>
            <w:shd w:val="clear" w:color="auto" w:fill="4F81BD"/>
          </w:tcPr>
          <w:p>
            <w:pPr>
              <w:ind w:left="80"/>
              <w:spacing w:after="0"/>
              <w:rPr>
                <w:sz w:val="20"/>
                <w:szCs w:val="20"/>
                <w:color w:val="auto"/>
              </w:rPr>
            </w:pPr>
            <w:r>
              <w:rPr>
                <w:rFonts w:ascii="Arial" w:cs="Arial" w:eastAsia="Arial" w:hAnsi="Arial"/>
                <w:sz w:val="22"/>
                <w:szCs w:val="22"/>
                <w:color w:val="auto"/>
              </w:rPr>
              <w:t>Metric</w:t>
            </w:r>
          </w:p>
        </w:tc>
        <w:tc>
          <w:tcPr>
            <w:tcW w:w="438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97"/>
              </w:rPr>
              <w:t>1H 2023 Target</w:t>
            </w:r>
          </w:p>
        </w:tc>
        <w:tc>
          <w:tcPr>
            <w:tcW w:w="4260" w:type="dxa"/>
            <w:vAlign w:val="bottom"/>
            <w:tcBorders>
              <w:right w:val="single" w:sz="8" w:color="4F81BD"/>
            </w:tcBorders>
            <w:shd w:val="clear" w:color="auto" w:fill="4F81BD"/>
          </w:tcPr>
          <w:p>
            <w:pPr>
              <w:jc w:val="center"/>
              <w:spacing w:after="0"/>
              <w:rPr>
                <w:sz w:val="20"/>
                <w:szCs w:val="20"/>
                <w:color w:val="auto"/>
              </w:rPr>
            </w:pPr>
            <w:r>
              <w:rPr>
                <w:rFonts w:ascii="Arial" w:cs="Arial" w:eastAsia="Arial" w:hAnsi="Arial"/>
                <w:sz w:val="22"/>
                <w:szCs w:val="22"/>
                <w:b w:val="1"/>
                <w:bCs w:val="1"/>
                <w:color w:val="auto"/>
                <w:w w:val="97"/>
              </w:rPr>
              <w:t>2H 2023 Target</w:t>
            </w:r>
          </w:p>
        </w:tc>
      </w:tr>
      <w:tr>
        <w:trPr>
          <w:trHeight w:val="223"/>
        </w:trPr>
        <w:tc>
          <w:tcPr>
            <w:tcW w:w="2620" w:type="dxa"/>
            <w:vAlign w:val="bottom"/>
            <w:tcBorders>
              <w:left w:val="single" w:sz="8" w:color="95B3D7"/>
              <w:right w:val="single" w:sz="8" w:color="95B3D7"/>
            </w:tcBorders>
            <w:shd w:val="clear" w:color="auto" w:fill="DBE5F1"/>
          </w:tcPr>
          <w:p>
            <w:pPr>
              <w:ind w:left="80"/>
              <w:spacing w:after="0" w:line="223" w:lineRule="exact"/>
              <w:rPr>
                <w:sz w:val="20"/>
                <w:szCs w:val="20"/>
                <w:color w:val="auto"/>
              </w:rPr>
            </w:pPr>
            <w:r>
              <w:rPr>
                <w:rFonts w:ascii="Arial" w:cs="Arial" w:eastAsia="Arial" w:hAnsi="Arial"/>
                <w:sz w:val="22"/>
                <w:szCs w:val="22"/>
                <w:color w:val="auto"/>
              </w:rPr>
              <w:t>Adjusted Pre-Tax Net</w:t>
            </w:r>
          </w:p>
        </w:tc>
        <w:tc>
          <w:tcPr>
            <w:tcW w:w="4380" w:type="dxa"/>
            <w:vAlign w:val="bottom"/>
            <w:tcBorders>
              <w:right w:val="single" w:sz="8" w:color="95B3D7"/>
            </w:tcBorders>
            <w:shd w:val="clear" w:color="auto" w:fill="DBE5F1"/>
          </w:tcPr>
          <w:p>
            <w:pPr>
              <w:jc w:val="right"/>
              <w:ind w:right="1892"/>
              <w:spacing w:after="0" w:line="223" w:lineRule="exact"/>
              <w:rPr>
                <w:sz w:val="20"/>
                <w:szCs w:val="20"/>
                <w:color w:val="auto"/>
              </w:rPr>
            </w:pPr>
            <w:r>
              <w:rPr>
                <w:rFonts w:ascii="Arial" w:cs="Arial" w:eastAsia="Arial" w:hAnsi="Arial"/>
                <w:sz w:val="22"/>
                <w:szCs w:val="22"/>
                <w:b w:val="1"/>
                <w:bCs w:val="1"/>
                <w:color w:val="auto"/>
              </w:rPr>
              <w:t>[***]</w:t>
            </w:r>
          </w:p>
        </w:tc>
        <w:tc>
          <w:tcPr>
            <w:tcW w:w="4260" w:type="dxa"/>
            <w:vAlign w:val="bottom"/>
            <w:tcBorders>
              <w:right w:val="single" w:sz="8" w:color="95B3D7"/>
            </w:tcBorders>
            <w:shd w:val="clear" w:color="auto" w:fill="DBE5F1"/>
          </w:tcPr>
          <w:p>
            <w:pPr>
              <w:jc w:val="right"/>
              <w:ind w:right="1832"/>
              <w:spacing w:after="0" w:line="223" w:lineRule="exact"/>
              <w:rPr>
                <w:sz w:val="20"/>
                <w:szCs w:val="20"/>
                <w:color w:val="auto"/>
              </w:rPr>
            </w:pPr>
            <w:r>
              <w:rPr>
                <w:rFonts w:ascii="Arial" w:cs="Arial" w:eastAsia="Arial" w:hAnsi="Arial"/>
                <w:sz w:val="22"/>
                <w:szCs w:val="22"/>
                <w:b w:val="1"/>
                <w:bCs w:val="1"/>
                <w:color w:val="auto"/>
              </w:rPr>
              <w:t>[***}</w:t>
            </w:r>
          </w:p>
        </w:tc>
      </w:tr>
      <w:tr>
        <w:trPr>
          <w:trHeight w:val="261"/>
        </w:trPr>
        <w:tc>
          <w:tcPr>
            <w:tcW w:w="2620" w:type="dxa"/>
            <w:vAlign w:val="bottom"/>
            <w:tcBorders>
              <w:left w:val="single" w:sz="8" w:color="95B3D7"/>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22"/>
                <w:szCs w:val="22"/>
                <w:color w:val="auto"/>
              </w:rPr>
              <w:t>Income</w:t>
            </w:r>
          </w:p>
        </w:tc>
        <w:tc>
          <w:tcPr>
            <w:tcW w:w="4380" w:type="dxa"/>
            <w:vAlign w:val="bottom"/>
            <w:tcBorders>
              <w:bottom w:val="single" w:sz="8" w:color="95B3D7"/>
              <w:right w:val="single" w:sz="8" w:color="95B3D7"/>
            </w:tcBorders>
            <w:shd w:val="clear" w:color="auto" w:fill="DBE5F1"/>
          </w:tcPr>
          <w:p>
            <w:pPr>
              <w:spacing w:after="0"/>
              <w:rPr>
                <w:sz w:val="22"/>
                <w:szCs w:val="22"/>
                <w:color w:val="auto"/>
              </w:rPr>
            </w:pPr>
          </w:p>
        </w:tc>
        <w:tc>
          <w:tcPr>
            <w:tcW w:w="4260" w:type="dxa"/>
            <w:vAlign w:val="bottom"/>
            <w:tcBorders>
              <w:bottom w:val="single" w:sz="8" w:color="95B3D7"/>
              <w:right w:val="single" w:sz="8" w:color="95B3D7"/>
            </w:tcBorders>
            <w:shd w:val="clear" w:color="auto" w:fill="DBE5F1"/>
          </w:tcPr>
          <w:p>
            <w:pPr>
              <w:spacing w:after="0"/>
              <w:rPr>
                <w:sz w:val="22"/>
                <w:szCs w:val="22"/>
                <w:color w:val="auto"/>
              </w:rPr>
            </w:pPr>
          </w:p>
        </w:tc>
      </w:tr>
    </w:tbl>
    <w:p>
      <w:pPr>
        <w:sectPr>
          <w:pgSz w:w="11900" w:h="16838" w:orient="portrait"/>
          <w:cols w:equalWidth="0" w:num="1">
            <w:col w:w="11260"/>
          </w:cols>
          <w:pgMar w:left="320" w:top="1379" w:right="3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21.1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480" w:type="dxa"/>
            <w:vAlign w:val="bottom"/>
            <w:gridSpan w:val="2"/>
          </w:tcPr>
          <w:p>
            <w:pPr>
              <w:ind w:left="180"/>
              <w:spacing w:after="0"/>
              <w:rPr>
                <w:sz w:val="20"/>
                <w:szCs w:val="20"/>
                <w:color w:val="auto"/>
              </w:rPr>
            </w:pPr>
            <w:r>
              <w:rPr>
                <w:rFonts w:ascii="Arial" w:cs="Arial" w:eastAsia="Arial" w:hAnsi="Arial"/>
                <w:sz w:val="18"/>
                <w:szCs w:val="18"/>
                <w:color w:val="auto"/>
              </w:rPr>
              <w:t>SUBSIDIARIES OF PUBMATIC, INC.</w:t>
            </w:r>
          </w:p>
        </w:tc>
      </w:tr>
      <w:tr>
        <w:trPr>
          <w:trHeight w:val="473"/>
        </w:trPr>
        <w:tc>
          <w:tcPr>
            <w:tcW w:w="3980" w:type="dxa"/>
            <w:vAlign w:val="bottom"/>
            <w:gridSpan w:val="2"/>
          </w:tcPr>
          <w:p>
            <w:pPr>
              <w:spacing w:after="0"/>
              <w:rPr>
                <w:sz w:val="20"/>
                <w:szCs w:val="20"/>
                <w:color w:val="auto"/>
              </w:rPr>
            </w:pPr>
            <w:r>
              <w:rPr>
                <w:rFonts w:ascii="Arial" w:cs="Arial" w:eastAsia="Arial" w:hAnsi="Arial"/>
                <w:sz w:val="18"/>
                <w:szCs w:val="18"/>
                <w:color w:val="auto"/>
              </w:rPr>
              <w:t>Name:</w:t>
            </w:r>
          </w:p>
        </w:tc>
        <w:tc>
          <w:tcPr>
            <w:tcW w:w="2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2"/>
              </w:rPr>
              <w:t>Jurisdiction:</w:t>
            </w:r>
          </w:p>
        </w:tc>
      </w:tr>
      <w:tr>
        <w:trPr>
          <w:trHeight w:val="20"/>
        </w:trPr>
        <w:tc>
          <w:tcPr>
            <w:tcW w:w="4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90"/>
        </w:trPr>
        <w:tc>
          <w:tcPr>
            <w:tcW w:w="3980" w:type="dxa"/>
            <w:vAlign w:val="bottom"/>
            <w:gridSpan w:val="2"/>
          </w:tcPr>
          <w:p>
            <w:pPr>
              <w:spacing w:after="0"/>
              <w:rPr>
                <w:sz w:val="20"/>
                <w:szCs w:val="20"/>
                <w:color w:val="auto"/>
              </w:rPr>
            </w:pPr>
            <w:r>
              <w:rPr>
                <w:rFonts w:ascii="Arial" w:cs="Arial" w:eastAsia="Arial" w:hAnsi="Arial"/>
                <w:sz w:val="18"/>
                <w:szCs w:val="18"/>
                <w:color w:val="auto"/>
              </w:rPr>
              <w:t>PubMatic India Private Limited</w:t>
            </w:r>
          </w:p>
        </w:tc>
        <w:tc>
          <w:tcPr>
            <w:tcW w:w="25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w w:val="94"/>
              </w:rPr>
              <w:t>6th Floor, Amar Paradigm, Baner Road, near D-mart</w:t>
            </w:r>
          </w:p>
        </w:tc>
        <w:tc>
          <w:tcPr>
            <w:tcW w:w="2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Pune, Maharashtra 411045, India</w:t>
            </w:r>
          </w:p>
        </w:tc>
        <w:tc>
          <w:tcPr>
            <w:tcW w:w="258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ectPr>
          <w:pgSz w:w="11900" w:h="16838" w:orient="portrait"/>
          <w:cols w:equalWidth="0" w:num="1">
            <w:col w:w="11220"/>
          </w:cols>
          <w:pgMar w:left="340" w:top="141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February 28, 2023, relating to the financial statements of PubMatic, Inc. and the effectiveness of PubMatic, Inc.’s internal control over financial reporting, appearing in the Annual Report on Form 10-K of PubMatic, Inc.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ectPr>
          <w:pgSz w:w="11900" w:h="16838" w:orient="portrait"/>
          <w:cols w:equalWidth="0" w:num="1">
            <w:col w:w="11240"/>
          </w:cols>
          <w:pgMar w:left="320" w:top="1417"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PURSUANT TO EXCHANGE ACT RULES 13a-14(a) AND 15d-14(a)</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Rajeev K. Goel, certify that:</w:t>
      </w:r>
    </w:p>
    <w:p>
      <w:pPr>
        <w:spacing w:after="0" w:line="25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PubMatic,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320"/>
        <w:spacing w:after="0" w:line="279" w:lineRule="auto"/>
        <w:tabs>
          <w:tab w:leader="none" w:pos="12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 w:hanging="320"/>
        <w:spacing w:after="0" w:line="308" w:lineRule="auto"/>
        <w:tabs>
          <w:tab w:leader="none" w:pos="1297"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5"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Dated: February 28,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Rajeev K. Goel</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Rajeev K. Goel</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093"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PURSUANT TO EXCHANGE ACT RULES 13a-14(a) AND 15d-14(a)</w:t>
      </w:r>
    </w:p>
    <w:p>
      <w:pPr>
        <w:spacing w:after="0" w:line="2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Pantelick, certify that:</w:t>
      </w:r>
    </w:p>
    <w:p>
      <w:pPr>
        <w:spacing w:after="0" w:line="25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PubMatic,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29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320"/>
        <w:spacing w:after="0" w:line="279" w:lineRule="auto"/>
        <w:tabs>
          <w:tab w:leader="none" w:pos="12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8"/>
          <w:szCs w:val="18"/>
          <w:color w:val="auto"/>
        </w:rPr>
      </w:pPr>
    </w:p>
    <w:p>
      <w:pPr>
        <w:ind w:left="1300" w:hanging="320"/>
        <w:spacing w:after="0" w:line="342" w:lineRule="auto"/>
        <w:tabs>
          <w:tab w:leader="none" w:pos="1297"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320"/>
        <w:spacing w:after="0" w:line="263" w:lineRule="auto"/>
        <w:tabs>
          <w:tab w:leader="none" w:pos="12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20" w:hanging="320"/>
        <w:spacing w:after="0" w:line="308" w:lineRule="auto"/>
        <w:tabs>
          <w:tab w:leader="none" w:pos="1297"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320"/>
        <w:spacing w:after="0" w:line="277" w:lineRule="auto"/>
        <w:tabs>
          <w:tab w:leader="none" w:pos="129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Dated: February 28,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Steven Pantelick</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Pantelick</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093"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PURSUANT TO PURSUANT TO 18 U.S.C. SECTION 1350,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Rajeev K. Goel, Chief Executive Officer of PubMatic, Inc. (the “Company”), do hereby certify, pursuant to 18 U.S.C. Section 1350, as adopted pursuant to Section 906 of the Sarbanes-Oxley Act of 2002, that to my knowledge:</w:t>
      </w:r>
    </w:p>
    <w:p>
      <w:pPr>
        <w:spacing w:after="0" w:line="197" w:lineRule="exact"/>
        <w:rPr>
          <w:sz w:val="20"/>
          <w:szCs w:val="20"/>
          <w:color w:val="auto"/>
        </w:rPr>
      </w:pPr>
    </w:p>
    <w:p>
      <w:pPr>
        <w:ind w:left="660" w:hanging="328"/>
        <w:spacing w:after="0" w:line="277" w:lineRule="auto"/>
        <w:tabs>
          <w:tab w:leader="none" w:pos="6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Dated: February 28,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Rajeev K. Goel</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Rajeev K. Goel</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pgSz w:w="11900" w:h="16838" w:orient="portrait"/>
          <w:cols w:equalWidth="0" w:num="1">
            <w:col w:w="11240"/>
          </w:cols>
          <w:pgMar w:left="320" w:top="1093"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PURSUANT TO PURSUANT TO 18 U.S.C. SECTION 1350,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Steven Pantelick, Chief Financial Officer of PubMatic, Inc. (the “Company”), do hereby certify, pursuant to 18 U.S.C. Section 1350, as adopted pursuant to Section 906 of the Sarbanes-Oxley Act of 2002, that to my knowledge:</w:t>
      </w:r>
    </w:p>
    <w:p>
      <w:pPr>
        <w:spacing w:after="0" w:line="197" w:lineRule="exact"/>
        <w:rPr>
          <w:sz w:val="20"/>
          <w:szCs w:val="20"/>
          <w:color w:val="auto"/>
        </w:rPr>
      </w:pPr>
    </w:p>
    <w:p>
      <w:pPr>
        <w:ind w:left="660" w:hanging="328"/>
        <w:spacing w:after="0" w:line="277"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2022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Dated: February 28,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Steven Pantelick</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Steven Pantelick</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lowerRoman"/>
      <w:start w:val="3"/>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lowerRoman"/>
      <w:start w:val="3"/>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4">
    <w:nsid w:val="7A6D8D3C"/>
    <w:multiLevelType w:val="hybridMultilevel"/>
    <w:lvl w:ilvl="0">
      <w:lvlJc w:val="left"/>
      <w:lvlText w:val="(%1)"/>
      <w:numFmt w:val="lowerRoman"/>
      <w:start w:val="4"/>
    </w:lvl>
  </w:abstractNum>
  <w:abstractNum w:abstractNumId="35">
    <w:nsid w:val="4B588F5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6">
    <w:nsid w:val="542289EC"/>
    <w:multiLevelType w:val="hybridMultilevel"/>
    <w:lvl w:ilvl="0">
      <w:lvlJc w:val="left"/>
      <w:lvlText w:val="(%1)"/>
      <w:numFmt w:val="lowerRoman"/>
      <w:start w:val="3"/>
    </w:lvl>
  </w:abstractNum>
  <w:abstractNum w:abstractNumId="37">
    <w:nsid w:val="6DE91B18"/>
    <w:multiLevelType w:val="hybridMultilevel"/>
    <w:lvl w:ilvl="0">
      <w:lvlJc w:val="left"/>
      <w:lvlText w:val="(%1)"/>
      <w:numFmt w:val="lowerLetter"/>
      <w:start w:val="4"/>
    </w:lvl>
    <w:lvl w:ilvl="1">
      <w:lvlJc w:val="left"/>
      <w:lvlText w:val="-"/>
      <w:numFmt w:val="bullet"/>
      <w:start w:val="1"/>
    </w:lvl>
  </w:abstractNum>
  <w:abstractNum w:abstractNumId="38">
    <w:nsid w:val="38437FD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9">
    <w:nsid w:val="7644A45C"/>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40">
    <w:nsid w:val="32FFF902"/>
    <w:multiLevelType w:val="hybridMultilevel"/>
    <w:lvl w:ilvl="0">
      <w:lvlJc w:val="left"/>
      <w:lvlText w:val="(%1)"/>
      <w:numFmt w:val="lowerRoman"/>
      <w:start w:val="4"/>
    </w:lvl>
    <w:lvl w:ilvl="1">
      <w:lvlJc w:val="left"/>
      <w:lvlText w:val="-"/>
      <w:numFmt w:val="bullet"/>
      <w:start w:val="1"/>
    </w:lvl>
  </w:abstractNum>
  <w:abstractNum w:abstractNumId="41">
    <w:nsid w:val="684A481A"/>
    <w:multiLevelType w:val="hybridMultilevel"/>
    <w:lvl w:ilvl="0">
      <w:lvlJc w:val="left"/>
      <w:lvlText w:val="(%1)"/>
      <w:numFmt w:val="lowerRoman"/>
      <w:start w:val="13"/>
    </w:lvl>
  </w:abstractNum>
  <w:abstractNum w:abstractNumId="42">
    <w:nsid w:val="579478FE"/>
    <w:multiLevelType w:val="hybridMultilevel"/>
    <w:lvl w:ilvl="0">
      <w:lvlJc w:val="left"/>
      <w:lvlText w:val="(%1)"/>
      <w:numFmt w:val="lowerLetter"/>
      <w:start w:val="6"/>
    </w:lvl>
    <w:lvl w:ilvl="1">
      <w:lvlJc w:val="left"/>
      <w:lvlText w:val="-"/>
      <w:numFmt w:val="bullet"/>
      <w:start w:val="1"/>
    </w:lvl>
  </w:abstractNum>
  <w:abstractNum w:abstractNumId="43">
    <w:nsid w:val="749ABB43"/>
    <w:multiLevelType w:val="hybridMultilevel"/>
    <w:lvl w:ilvl="0">
      <w:lvlJc w:val="left"/>
      <w:lvlText w:val="(%1)"/>
      <w:numFmt w:val="lowerLetter"/>
      <w:start w:val="7"/>
    </w:lvl>
  </w:abstractNum>
  <w:abstractNum w:abstractNumId="44">
    <w:nsid w:val="3DC240FB"/>
    <w:multiLevelType w:val="hybridMultilevel"/>
    <w:lvl w:ilvl="0">
      <w:lvlJc w:val="left"/>
      <w:lvlText w:val="(%1)"/>
      <w:numFmt w:val="lowerLetter"/>
      <w:start w:val="1"/>
    </w:lvl>
    <w:lvl w:ilvl="1">
      <w:lvlJc w:val="left"/>
      <w:lvlText w:val="-"/>
      <w:numFmt w:val="bullet"/>
      <w:start w:val="1"/>
    </w:lvl>
  </w:abstractNum>
  <w:abstractNum w:abstractNumId="45">
    <w:nsid w:val="1BA026FA"/>
    <w:multiLevelType w:val="hybridMultilevel"/>
    <w:lvl w:ilvl="0">
      <w:lvlJc w:val="left"/>
      <w:lvlText w:val="(%1)"/>
      <w:numFmt w:val="lowerRoman"/>
      <w:start w:val="2"/>
    </w:lvl>
  </w:abstractNum>
  <w:abstractNum w:abstractNumId="46">
    <w:nsid w:val="79A1DEAA"/>
    <w:multiLevelType w:val="hybridMultilevel"/>
    <w:lvl w:ilvl="0">
      <w:lvlJc w:val="left"/>
      <w:lvlText w:val="(%1)"/>
      <w:numFmt w:val="lowerLetter"/>
      <w:start w:val="2"/>
    </w:lvl>
    <w:lvl w:ilvl="1">
      <w:lvlJc w:val="left"/>
      <w:lvlText w:val="(%2)"/>
      <w:numFmt w:val="upperLetter"/>
      <w:start w:val="1"/>
    </w:lvl>
    <w:lvl w:ilvl="2">
      <w:lvlJc w:val="left"/>
      <w:lvlText w:val="-"/>
      <w:numFmt w:val="bullet"/>
      <w:start w:val="1"/>
    </w:lvl>
  </w:abstractNum>
  <w:abstractNum w:abstractNumId="47">
    <w:nsid w:val="75C6C33A"/>
    <w:multiLevelType w:val="hybridMultilevel"/>
    <w:lvl w:ilvl="0">
      <w:lvlJc w:val="left"/>
      <w:lvlText w:val="(%1)"/>
      <w:numFmt w:val="decimal"/>
      <w:start w:val="2"/>
    </w:lvl>
    <w:lvl w:ilvl="1">
      <w:lvlJc w:val="left"/>
      <w:lvlText w:val="(%2)"/>
      <w:numFmt w:val="upperLetter"/>
      <w:start w:val="4"/>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8"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jpeg"/><Relationship Id="rId121" Type="http://schemas.openxmlformats.org/officeDocument/2006/relationships/hyperlink" Target="http://www.sec.gov/Archives/edgar/data/1422930/000142293022000045/exhibit21-mergeragreement.htm" TargetMode="External"/><Relationship Id="rId122" Type="http://schemas.openxmlformats.org/officeDocument/2006/relationships/hyperlink" Target="https://www.sec.gov/Archives/edgar/data/1422930/000142293021000009/amendedandrestatedcertif.htm" TargetMode="External"/><Relationship Id="rId123" Type="http://schemas.openxmlformats.org/officeDocument/2006/relationships/hyperlink" Target="https://www.sec.gov/Archives/edgar/data/0001422930/000162828020016866/exhibit41-sx1a1.htm" TargetMode="External"/><Relationship Id="rId124" Type="http://schemas.openxmlformats.org/officeDocument/2006/relationships/hyperlink" Target="https://www.sec.gov/Archives/edgar/data/1422930/000162828020016438/exhibit42-sx1.htm" TargetMode="External"/><Relationship Id="rId125" Type="http://schemas.openxmlformats.org/officeDocument/2006/relationships/hyperlink" Target="https://www.sec.gov/Archives/edgar/data/1422930/000142293021000009/exhibit43.htm" TargetMode="External"/><Relationship Id="rId126" Type="http://schemas.openxmlformats.org/officeDocument/2006/relationships/hyperlink" Target="https://www.sec.gov/Archives/edgar/data/1422930/000162828020016438/exhibit101-sx1.htm" TargetMode="External"/><Relationship Id="rId127" Type="http://schemas.openxmlformats.org/officeDocument/2006/relationships/hyperlink" Target="https://www.sec.gov/Archives/edgar/data/1422930/000162828020016438/exhibit102-sx1.htm" TargetMode="External"/><Relationship Id="rId128" Type="http://schemas.openxmlformats.org/officeDocument/2006/relationships/hyperlink" Target="https://www.sec.gov/Archives/edgar/data/1422930/000162828020016438/exhibit104-sx1.htm" TargetMode="External"/><Relationship Id="rId129" Type="http://schemas.openxmlformats.org/officeDocument/2006/relationships/hyperlink" Target="https://www.sec.gov/Archives/edgar/data/0001422930/000162828020016866/exhibit105-sx1a1.htm" TargetMode="External"/><Relationship Id="rId130" Type="http://schemas.openxmlformats.org/officeDocument/2006/relationships/hyperlink" Target="https://www.sec.gov/Archives/edgar/data/1422930/000162828020016438/exhibit103-sx1.htm" TargetMode="External"/><Relationship Id="rId131" Type="http://schemas.openxmlformats.org/officeDocument/2006/relationships/hyperlink" Target="https://www.sec.gov/Archives/edgar/data/1422930/000142293021000009/exhibit104form10-k.htm" TargetMode="External"/><Relationship Id="rId132" Type="http://schemas.openxmlformats.org/officeDocument/2006/relationships/hyperlink" Target="https://www.sec.gov/Archives/edgar/data/1422930/000142293021000006/exhibit106.htm" TargetMode="External"/><Relationship Id="rId133" Type="http://schemas.openxmlformats.org/officeDocument/2006/relationships/hyperlink" Target="https://www.sec.gov/Archives/edgar/data/1422930/000142293022000009/exhibit108202110-k.htm" TargetMode="External"/><Relationship Id="rId134" Type="http://schemas.openxmlformats.org/officeDocument/2006/relationships/hyperlink" Target="https://www.sec.gov/Archives/edgar/data/0001422930/000162828020016866/exhibit106-sx1a1.htm" TargetMode="External"/><Relationship Id="rId135" Type="http://schemas.openxmlformats.org/officeDocument/2006/relationships/hyperlink" Target="https://www.sec.gov/Archives/edgar/data/1422930/000142293021000006/exhibit107.htm" TargetMode="External"/><Relationship Id="rId136" Type="http://schemas.openxmlformats.org/officeDocument/2006/relationships/hyperlink" Target="https://www.sec.gov/Archives/edgar/data/0001422930/000162828020016866/exhibit107-sx1a1.htm" TargetMode="External"/><Relationship Id="rId137" Type="http://schemas.openxmlformats.org/officeDocument/2006/relationships/hyperlink" Target="https://www.sec.gov/Archives/edgar/data/0001422930/000162828020016866/exhibit108-sx1a1.htm" TargetMode="External"/><Relationship Id="rId139" Type="http://schemas.openxmlformats.org/officeDocument/2006/relationships/hyperlink" Target="https://www.sec.gov/Archives/edgar/data/0001422930/000162828020016866/exhibit109-sx1a1.htm" TargetMode="External"/><Relationship Id="rId140" Type="http://schemas.openxmlformats.org/officeDocument/2006/relationships/hyperlink" Target="https://www.sec.gov/Archives/edgar/data/1422930/000142293021000006/exhibit102.htm" TargetMode="External"/><Relationship Id="rId141" Type="http://schemas.openxmlformats.org/officeDocument/2006/relationships/hyperlink" Target="https://www.sec.gov/Archives/edgar/data/1422930/000142293021000006/exhibit103.htm" TargetMode="External"/><Relationship Id="rId142" Type="http://schemas.openxmlformats.org/officeDocument/2006/relationships/hyperlink" Target="https://www.sec.gov/Archives/edgar/data/1422930/000142293021000006/exhibit104.htm" TargetMode="External"/><Relationship Id="rId143" Type="http://schemas.openxmlformats.org/officeDocument/2006/relationships/hyperlink" Target="https://www.sec.gov/Archives/edgar/data/1422930/000142293021000006/exhibit105.htm" TargetMode="External"/><Relationship Id="rId144" Type="http://schemas.openxmlformats.org/officeDocument/2006/relationships/hyperlink" Target="https://www.sec.gov/Archives/edgar/data/1422930/000142293022000009/exhibit1018form10-k2021.htm" TargetMode="External"/><Relationship Id="rId145" Type="http://schemas.openxmlformats.org/officeDocument/2006/relationships/hyperlink" Target="https://www.sec.gov/Archives/edgar/data/1422930/000162828020016438/exhibit1013-sx1.htm" TargetMode="External"/><Relationship Id="rId146" Type="http://schemas.openxmlformats.org/officeDocument/2006/relationships/hyperlink" Target="https://www.sec.gov/Archives/edgar/data/1422930/000142293021000006/exhibit101.htm" TargetMode="External"/><Relationship Id="rId147" Type="http://schemas.openxmlformats.org/officeDocument/2006/relationships/hyperlink" Target="https://www.sec.gov/Archives/edgar/data/1422930/000142293021000015/exhibit101april62021.htm" TargetMode="External"/><Relationship Id="rId148" Type="http://schemas.openxmlformats.org/officeDocument/2006/relationships/hyperlink" Target="https://www.sec.gov/Archives/edgar/data/0001422930/000142293021000037/exhibit101-june42021.htm" TargetMode="External"/><Relationship Id="rId149" Type="http://schemas.openxmlformats.org/officeDocument/2006/relationships/hyperlink" Target="https://www.sec.gov/Archives/edgar/data/1422930/000162828020016438/exhibit1014-sx1.htm" TargetMode="External"/><Relationship Id="rId150" Type="http://schemas.openxmlformats.org/officeDocument/2006/relationships/hyperlink" Target="https://www.sec.gov/Archives/edgar/data/1422930/000162828020016438/exhibit1015-sx1.htm" TargetMode="External"/><Relationship Id="rId151" Type="http://schemas.openxmlformats.org/officeDocument/2006/relationships/hyperlink" Target="https://www.sec.gov/Archives/edgar/data/1422930/000162828020016438/exhibit1016-sx1.htm" TargetMode="External"/><Relationship Id="rId152" Type="http://schemas.openxmlformats.org/officeDocument/2006/relationships/hyperlink" Target="https://www.sec.gov/Archives/edgar/data/1422930/000142293021000055/exhibit101q3.htm" TargetMode="External"/><Relationship Id="rId153" Type="http://schemas.openxmlformats.org/officeDocument/2006/relationships/hyperlink" Target="https://www.sec.gov/Archives/edgar/data/1422930/000142293021000055/exhibit102q3.htm" TargetMode="External"/><Relationship Id="rId154" Type="http://schemas.openxmlformats.org/officeDocument/2006/relationships/hyperlink" Target="https://www.sec.gov/Archives/edgar/data/0001422930/000162828020016866/exhibit1020-sx1a1.htm" TargetMode="External"/><Relationship Id="rId155" Type="http://schemas.openxmlformats.org/officeDocument/2006/relationships/hyperlink" Target="https://www.sec.gov/Archives/edgar/data/0001422930/000162828020016866/exhibit1021-sx1a1.htm" TargetMode="External"/><Relationship Id="rId156" Type="http://schemas.openxmlformats.org/officeDocument/2006/relationships/hyperlink" Target="http://www.sec.gov/Archives/edgar/data/1422930/000142293022000048/ex101-svb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2023-02-28T21:07:35Z</dcterms:created>
  <dcterms:modified xsi:type="dcterms:W3CDTF">2023-02-28T21:07:35Z</dcterms:modified>
</cp:coreProperties>
</file>