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52026_070901.xml.htm"/>
      <w:bookmarkStart w:id="1" w:name="ksform409252026_07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Rajeev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50,453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18.0516</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40,373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(4)</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40,373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18.5439</w:t>
            </w:r>
            <w:r>
              <w:rPr>
                <w:rFonts w:ascii="Times;serif" w:hAnsi="Times;serif"/>
                <w:color w:val="008000"/>
                <w:position w:val="7"/>
                <w:sz w:val="16"/>
                <w:sz w:val="20"/>
                <w:shd w:fill="FFFFFF" w:val="clear"/>
              </w:rPr>
              <w:t>(5)</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921"/>
        <w:gridCol w:w="801"/>
        <w:gridCol w:w="936"/>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73,088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21,870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207,854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581,260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581,260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483,784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Issuer's executive officers, directors and their respective affiliates will convert automatically into one share of Class A common stock upon any transfer,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line item were effected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The lowest price at which shares were sold was $17.41 and the highest price at which shares were sold was $18.40.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sales reported in this line item, Mr. Goel holds 2,324,694 shares of Class A Common Stock and Class B Common Stock, which figure does not reflect vested but unexercised options, unvested options, or unvested restricted stock units, each as of the date of filing. The option award under which these shares were exercised expires on May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The lowest price at which shares were sold was $18.41 and the highest price at which shares were sold was $18.70.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securities are held by the Reporting Person, as custodian for the benefit of his children under the California Uniform Transfers to Minors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securities are held by The Goel Family Trust, of which the Reporting Person and his spouse are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11"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1266</Words>
  <Characters>6534</Characters>
  <CharactersWithSpaces>7616</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