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120" w:after="283"/>
        <w:jc w:val="left"/>
        <w:rPr/>
      </w:pPr>
      <w:r>
        <w:rPr>
          <w:rFonts w:ascii="Wingdings;sans-serif" w:hAnsi="Wingdings;sans-serif"/>
          <w:b/>
          <w:color w:val="000000"/>
          <w:sz w:val="20"/>
        </w:rPr>
        <w:t>x</w:t>
      </w: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br/>
        <w:t>or</w:t>
      </w:r>
    </w:p>
    <w:p>
      <w:pPr>
        <w:pStyle w:val="TextBody"/>
        <w:bidi w:val="0"/>
        <w:spacing w:lineRule="auto" w:line="288" w:before="120" w:after="283"/>
        <w:jc w:val="left"/>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001-39748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PUBMATIC, INC.</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1795"/>
        <w:gridCol w:w="1577"/>
        <w:gridCol w:w="1593"/>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20-5863224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614" w:type="dxa"/>
        <w:jc w:val="left"/>
        <w:tblInd w:w="0" w:type="dxa"/>
        <w:tblLayout w:type="fixed"/>
        <w:tblCellMar>
          <w:top w:w="28" w:type="dxa"/>
          <w:left w:w="28" w:type="dxa"/>
          <w:bottom w:w="28" w:type="dxa"/>
          <w:right w:w="28" w:type="dxa"/>
        </w:tblCellMar>
      </w:tblPr>
      <w:tblGrid>
        <w:gridCol w:w="1550"/>
        <w:gridCol w:w="1362"/>
        <w:gridCol w:w="1378"/>
        <w:gridCol w:w="499"/>
        <w:gridCol w:w="499"/>
        <w:gridCol w:w="501"/>
        <w:gridCol w:w="1118"/>
        <w:gridCol w:w="1118"/>
        <w:gridCol w:w="158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PUBM</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1, 2023, the registrant had 41,603,870 shares of Class A common stock outstanding and 9,158,315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tbl>
      <w:tblPr>
        <w:tblW w:w="9779" w:type="dxa"/>
        <w:jc w:val="left"/>
        <w:tblInd w:w="0" w:type="dxa"/>
        <w:tblLayout w:type="fixed"/>
        <w:tblCellMar>
          <w:top w:w="28" w:type="dxa"/>
          <w:left w:w="28" w:type="dxa"/>
          <w:bottom w:w="28" w:type="dxa"/>
          <w:right w:w="28" w:type="dxa"/>
        </w:tblCellMar>
      </w:tblPr>
      <w:tblGrid>
        <w:gridCol w:w="416"/>
        <w:gridCol w:w="365"/>
        <w:gridCol w:w="365"/>
        <w:gridCol w:w="2452"/>
        <w:gridCol w:w="2452"/>
        <w:gridCol w:w="2460"/>
        <w:gridCol w:w="365"/>
        <w:gridCol w:w="365"/>
        <w:gridCol w:w="539"/>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9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79" w:type="dxa"/>
            <w:gridSpan w:val="9"/>
            <w:tcBorders/>
            <w:tcMar>
              <w:top w:w="0" w:type="dxa"/>
              <w:left w:w="0" w:type="dxa"/>
              <w:bottom w:w="0" w:type="dxa"/>
              <w:right w:w="0" w:type="dxa"/>
            </w:tcMar>
            <w:vAlign w:val="center"/>
          </w:tcPr>
          <w:p>
            <w:pPr>
              <w:pStyle w:val="TableContents"/>
              <w:bidi w:val="0"/>
              <w:spacing w:lineRule="auto" w:line="256" w:before="120" w:after="283"/>
              <w:jc w:val="center"/>
              <w:rPr/>
            </w:pPr>
            <w:hyperlink w:anchor="i479e8aabb4d345aaab4e6a51d4eba54f_10">
              <w:r>
                <w:rPr>
                  <w:rStyle w:val="InternetLink"/>
                  <w:rFonts w:ascii="Times New Roman;sans-serif" w:hAnsi="Times New Roman;sans-serif"/>
                  <w:b/>
                  <w:color w:val="0000FF"/>
                  <w:sz w:val="20"/>
                  <w:u w:val="single"/>
                </w:rPr>
                <w:t>PART I - FINANCIAL INFORMATION</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3">
              <w:r>
                <w:rPr>
                  <w:rStyle w:val="InternetLink"/>
                  <w:rFonts w:ascii="Times New Roman;sans-serif" w:hAnsi="Times New Roman;sans-serif"/>
                  <w:b/>
                  <w:color w:val="0000FF"/>
                  <w:sz w:val="20"/>
                  <w:u w:val="single"/>
                </w:rPr>
                <w:t>Condensed Consolidated Financial Statements (Unaudited)</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3">
              <w:r>
                <w:rPr>
                  <w:rStyle w:val="InternetLink"/>
                  <w:rFonts w:ascii="Times New Roman;sans-serif" w:hAnsi="Times New Roman;sans-serif"/>
                  <w:b w:val="false"/>
                  <w:color w:val="0000FF"/>
                  <w:sz w:val="20"/>
                  <w:u w:val="single"/>
                </w:rPr>
                <w:t>1</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6">
              <w:r>
                <w:rPr>
                  <w:rStyle w:val="InternetLink"/>
                  <w:rFonts w:ascii="Times New Roman;sans-serif" w:hAnsi="Times New Roman;sans-serif"/>
                  <w:b w:val="false"/>
                  <w:color w:val="0000FF"/>
                  <w:sz w:val="20"/>
                  <w:u w:val="single"/>
                </w:rPr>
                <w:t>Condensed Consolidated Balance Sheets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6">
              <w:r>
                <w:rPr>
                  <w:rStyle w:val="InternetLink"/>
                  <w:rFonts w:ascii="Times New Roman;sans-serif" w:hAnsi="Times New Roman;sans-serif"/>
                  <w:b w:val="false"/>
                  <w:color w:val="0000FF"/>
                  <w:sz w:val="20"/>
                  <w:u w:val="single"/>
                </w:rPr>
                <w:t>1</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9">
              <w:r>
                <w:rPr>
                  <w:rStyle w:val="InternetLink"/>
                  <w:rFonts w:ascii="Times New Roman;sans-serif" w:hAnsi="Times New Roman;sans-serif"/>
                  <w:b w:val="false"/>
                  <w:color w:val="0000FF"/>
                  <w:sz w:val="20"/>
                  <w:u w:val="single"/>
                </w:rPr>
                <w:t>Condensed Consolidated Statements of Operations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9">
              <w:r>
                <w:rPr>
                  <w:rStyle w:val="InternetLink"/>
                  <w:rFonts w:ascii="Times New Roman;sans-serif" w:hAnsi="Times New Roman;sans-serif"/>
                  <w:b w:val="false"/>
                  <w:color w:val="0000FF"/>
                  <w:sz w:val="20"/>
                  <w:u w:val="single"/>
                </w:rPr>
                <w:t>2</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22">
              <w:r>
                <w:rPr>
                  <w:rStyle w:val="InternetLink"/>
                  <w:rFonts w:ascii="Times New Roman;sans-serif" w:hAnsi="Times New Roman;sans-serif"/>
                  <w:b w:val="false"/>
                  <w:color w:val="0000FF"/>
                  <w:sz w:val="20"/>
                  <w:u w:val="single"/>
                </w:rPr>
                <w:t>Condensed Consolidated Statements of Comprehensive Income (Loss)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22">
              <w:r>
                <w:rPr>
                  <w:rStyle w:val="InternetLink"/>
                  <w:rFonts w:ascii="Times New Roman;sans-serif" w:hAnsi="Times New Roman;sans-serif"/>
                  <w:b w:val="false"/>
                  <w:color w:val="0000FF"/>
                  <w:sz w:val="20"/>
                  <w:u w:val="single"/>
                </w:rPr>
                <w:t>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25">
              <w:r>
                <w:rPr>
                  <w:rStyle w:val="InternetLink"/>
                  <w:rFonts w:ascii="Times New Roman;sans-serif" w:hAnsi="Times New Roman;sans-serif"/>
                  <w:b w:val="false"/>
                  <w:color w:val="0000FF"/>
                  <w:sz w:val="20"/>
                  <w:u w:val="single"/>
                </w:rPr>
                <w:t>Condensed Consolidated Statements of Stockholders’ Equity</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25">
              <w:r>
                <w:rPr>
                  <w:rStyle w:val="InternetLink"/>
                  <w:rFonts w:ascii="Times New Roman;sans-serif" w:hAnsi="Times New Roman;sans-serif"/>
                  <w:b w:val="false"/>
                  <w:color w:val="0000FF"/>
                  <w:sz w:val="20"/>
                  <w:u w:val="single"/>
                </w:rPr>
                <w:t>4</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28">
              <w:r>
                <w:rPr>
                  <w:rStyle w:val="InternetLink"/>
                  <w:rFonts w:ascii="Times New Roman;sans-serif" w:hAnsi="Times New Roman;sans-serif"/>
                  <w:b w:val="false"/>
                  <w:color w:val="0000FF"/>
                  <w:sz w:val="20"/>
                  <w:u w:val="single"/>
                </w:rPr>
                <w:t>Condensed Consolidated Statements of Cash Flows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28">
              <w:r>
                <w:rPr>
                  <w:rStyle w:val="InternetLink"/>
                  <w:rFonts w:ascii="Times New Roman;sans-serif" w:hAnsi="Times New Roman;sans-serif"/>
                  <w:b w:val="false"/>
                  <w:color w:val="0000FF"/>
                  <w:sz w:val="20"/>
                  <w:u w:val="single"/>
                </w:rPr>
                <w:t>6</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31">
              <w:r>
                <w:rPr>
                  <w:rStyle w:val="InternetLink"/>
                  <w:rFonts w:ascii="Times New Roman;sans-serif" w:hAnsi="Times New Roman;sans-serif"/>
                  <w:b w:val="false"/>
                  <w:color w:val="0000FF"/>
                  <w:sz w:val="20"/>
                  <w:u w:val="single"/>
                </w:rPr>
                <w:t>Notes to Condensed Consolidated Financial Statements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31">
              <w:r>
                <w:rPr>
                  <w:rStyle w:val="InternetLink"/>
                  <w:rFonts w:ascii="Times New Roman;sans-serif" w:hAnsi="Times New Roman;sans-serif"/>
                  <w:b w:val="false"/>
                  <w:color w:val="0000FF"/>
                  <w:sz w:val="20"/>
                  <w:u w:val="single"/>
                </w:rPr>
                <w:t>7</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82">
              <w:r>
                <w:rPr>
                  <w:rStyle w:val="InternetLink"/>
                  <w:rFonts w:ascii="Times New Roman;sans-serif" w:hAnsi="Times New Roman;sans-serif"/>
                  <w:b w:val="false"/>
                  <w:color w:val="0000FF"/>
                  <w:sz w:val="20"/>
                  <w:u w:val="single"/>
                </w:rPr>
                <w:t>19</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12">
              <w:r>
                <w:rPr>
                  <w:rStyle w:val="InternetLink"/>
                  <w:rFonts w:ascii="Times New Roman;sans-serif" w:hAnsi="Times New Roman;sans-serif"/>
                  <w:b w:val="false"/>
                  <w:color w:val="0000FF"/>
                  <w:sz w:val="20"/>
                  <w:u w:val="single"/>
                </w:rPr>
                <w:t>Quantitative and Qualitative Disclosures About Market Risk</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12">
              <w:r>
                <w:rPr>
                  <w:rStyle w:val="InternetLink"/>
                  <w:rFonts w:ascii="Times New Roman;sans-serif" w:hAnsi="Times New Roman;sans-serif"/>
                  <w:b w:val="false"/>
                  <w:color w:val="0000FF"/>
                  <w:sz w:val="20"/>
                  <w:u w:val="single"/>
                </w:rPr>
                <w:t>33</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15">
              <w:r>
                <w:rPr>
                  <w:rStyle w:val="InternetLink"/>
                  <w:rFonts w:ascii="Times New Roman;sans-serif" w:hAnsi="Times New Roman;sans-serif"/>
                  <w:b w:val="false"/>
                  <w:color w:val="0000FF"/>
                  <w:sz w:val="20"/>
                  <w:u w:val="single"/>
                </w:rPr>
                <w:t>Controls and Procedures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15">
              <w:r>
                <w:rPr>
                  <w:rStyle w:val="InternetLink"/>
                  <w:rFonts w:ascii="Times New Roman;sans-serif" w:hAnsi="Times New Roman;sans-serif"/>
                  <w:b w:val="false"/>
                  <w:color w:val="0000FF"/>
                  <w:sz w:val="20"/>
                  <w:u w:val="single"/>
                </w:rPr>
                <w:t>33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9"/>
            <w:tcBorders/>
            <w:tcMar>
              <w:top w:w="0" w:type="dxa"/>
              <w:left w:w="0" w:type="dxa"/>
              <w:bottom w:w="0" w:type="dxa"/>
              <w:right w:w="0" w:type="dxa"/>
            </w:tcMar>
            <w:vAlign w:val="center"/>
          </w:tcPr>
          <w:p>
            <w:pPr>
              <w:pStyle w:val="TableContents"/>
              <w:bidi w:val="0"/>
              <w:spacing w:lineRule="auto" w:line="256" w:before="120" w:after="283"/>
              <w:jc w:val="center"/>
              <w:rPr/>
            </w:pPr>
            <w:hyperlink w:anchor="i479e8aabb4d345aaab4e6a51d4eba54f_118">
              <w:r>
                <w:rPr>
                  <w:rStyle w:val="InternetLink"/>
                  <w:rFonts w:ascii="Times New Roman;sans-serif" w:hAnsi="Times New Roman;sans-serif"/>
                  <w:b/>
                  <w:color w:val="0000FF"/>
                  <w:sz w:val="20"/>
                  <w:u w:val="single"/>
                </w:rPr>
                <w:t>PART II - OTHER INFORMATION</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21">
              <w:r>
                <w:rPr>
                  <w:rStyle w:val="InternetLink"/>
                  <w:rFonts w:ascii="Times New Roman;sans-serif" w:hAnsi="Times New Roman;sans-serif"/>
                  <w:b w:val="false"/>
                  <w:color w:val="0000FF"/>
                  <w:sz w:val="20"/>
                  <w:u w:val="single"/>
                </w:rPr>
                <w:t>Legal Proceedings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21">
              <w:r>
                <w:rPr>
                  <w:rStyle w:val="InternetLink"/>
                  <w:rFonts w:ascii="Times New Roman;sans-serif" w:hAnsi="Times New Roman;sans-serif"/>
                  <w:b w:val="false"/>
                  <w:color w:val="0000FF"/>
                  <w:sz w:val="20"/>
                  <w:u w:val="single"/>
                </w:rPr>
                <w:t>35</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24">
              <w:r>
                <w:rPr>
                  <w:rStyle w:val="InternetLink"/>
                  <w:rFonts w:ascii="Times New Roman;sans-serif" w:hAnsi="Times New Roman;sans-serif"/>
                  <w:b w:val="false"/>
                  <w:color w:val="0000FF"/>
                  <w:sz w:val="20"/>
                  <w:u w:val="single"/>
                </w:rPr>
                <w:t>Risk Factors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24">
              <w:r>
                <w:rPr>
                  <w:rStyle w:val="InternetLink"/>
                  <w:rFonts w:ascii="Times New Roman;sans-serif" w:hAnsi="Times New Roman;sans-serif"/>
                  <w:b w:val="false"/>
                  <w:color w:val="0000FF"/>
                  <w:sz w:val="20"/>
                  <w:u w:val="single"/>
                </w:rPr>
                <w:t>35</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27">
              <w:r>
                <w:rPr>
                  <w:rStyle w:val="InternetLink"/>
                  <w:rFonts w:ascii="Times New Roman;sans-serif" w:hAnsi="Times New Roman;sans-serif"/>
                  <w:b w:val="false"/>
                  <w:color w:val="0000FF"/>
                  <w:sz w:val="20"/>
                  <w:u w:val="single"/>
                </w:rPr>
                <w:t>Unregistered Sales of Equity Securities and Use of Proceeds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27">
              <w:r>
                <w:rPr>
                  <w:rStyle w:val="InternetLink"/>
                  <w:rFonts w:ascii="Times New Roman;sans-serif" w:hAnsi="Times New Roman;sans-serif"/>
                  <w:b w:val="false"/>
                  <w:color w:val="0000FF"/>
                  <w:sz w:val="20"/>
                  <w:u w:val="single"/>
                </w:rPr>
                <w:t>62</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30">
              <w:r>
                <w:rPr>
                  <w:rStyle w:val="InternetLink"/>
                  <w:rFonts w:ascii="Times New Roman;sans-serif" w:hAnsi="Times New Roman;sans-serif"/>
                  <w:b w:val="false"/>
                  <w:color w:val="0000FF"/>
                  <w:sz w:val="20"/>
                  <w:u w:val="single"/>
                </w:rPr>
                <w:t>Defaults Upon Senior Securities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30">
              <w:r>
                <w:rPr>
                  <w:rStyle w:val="InternetLink"/>
                  <w:rFonts w:ascii="Times New Roman;sans-serif" w:hAnsi="Times New Roman;sans-serif"/>
                  <w:b w:val="false"/>
                  <w:color w:val="0000FF"/>
                  <w:sz w:val="20"/>
                  <w:u w:val="single"/>
                </w:rPr>
                <w:t>62</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33">
              <w:r>
                <w:rPr>
                  <w:rStyle w:val="InternetLink"/>
                  <w:rFonts w:ascii="Times New Roman;sans-serif" w:hAnsi="Times New Roman;sans-serif"/>
                  <w:b w:val="false"/>
                  <w:color w:val="0000FF"/>
                  <w:sz w:val="20"/>
                  <w:u w:val="single"/>
                </w:rPr>
                <w:t>Mine Safety Disclosures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33">
              <w:r>
                <w:rPr>
                  <w:rStyle w:val="InternetLink"/>
                  <w:rFonts w:ascii="Times New Roman;sans-serif" w:hAnsi="Times New Roman;sans-serif"/>
                  <w:b w:val="false"/>
                  <w:color w:val="0000FF"/>
                  <w:sz w:val="20"/>
                  <w:u w:val="single"/>
                </w:rPr>
                <w:t>62</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36">
              <w:r>
                <w:rPr>
                  <w:rStyle w:val="InternetLink"/>
                  <w:rFonts w:ascii="Times New Roman;sans-serif" w:hAnsi="Times New Roman;sans-serif"/>
                  <w:b w:val="false"/>
                  <w:color w:val="0000FF"/>
                  <w:sz w:val="20"/>
                  <w:u w:val="single"/>
                </w:rPr>
                <w:t>Other Information</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36">
              <w:r>
                <w:rPr>
                  <w:rStyle w:val="InternetLink"/>
                  <w:rFonts w:ascii="Times New Roman;sans-serif" w:hAnsi="Times New Roman;sans-serif"/>
                  <w:b w:val="false"/>
                  <w:color w:val="0000FF"/>
                  <w:sz w:val="20"/>
                  <w:u w:val="single"/>
                </w:rPr>
                <w:t>63</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42">
              <w:r>
                <w:rPr>
                  <w:rStyle w:val="InternetLink"/>
                  <w:rFonts w:ascii="Times New Roman;sans-serif" w:hAnsi="Times New Roman;sans-serif"/>
                  <w:b w:val="false"/>
                  <w:color w:val="0000FF"/>
                  <w:sz w:val="20"/>
                  <w:u w:val="single"/>
                </w:rPr>
                <w:t>Exhibits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42">
              <w:r>
                <w:rPr>
                  <w:rStyle w:val="InternetLink"/>
                  <w:rFonts w:ascii="Times New Roman;sans-serif" w:hAnsi="Times New Roman;sans-serif"/>
                  <w:b w:val="false"/>
                  <w:color w:val="0000FF"/>
                  <w:sz w:val="20"/>
                  <w:u w:val="single"/>
                </w:rPr>
                <w:t>64</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79e8aabb4d345aaab4e6a51d4eba54f_145">
              <w:r>
                <w:rPr>
                  <w:rStyle w:val="InternetLink"/>
                  <w:rFonts w:ascii="Times New Roman;sans-serif" w:hAnsi="Times New Roman;sans-serif"/>
                  <w:b w:val="false"/>
                  <w:color w:val="0000FF"/>
                  <w:sz w:val="20"/>
                  <w:u w:val="single"/>
                </w:rPr>
                <w:t>Signatures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79e8aabb4d345aaab4e6a51d4eba54f_145">
              <w:r>
                <w:rPr>
                  <w:rStyle w:val="InternetLink"/>
                  <w:rFonts w:ascii="Times New Roman;sans-serif" w:hAnsi="Times New Roman;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183"/>
        <w:gridCol w:w="2209"/>
        <w:gridCol w:w="2148"/>
        <w:gridCol w:w="211"/>
        <w:gridCol w:w="826"/>
        <w:gridCol w:w="109"/>
        <w:gridCol w:w="109"/>
        <w:gridCol w:w="109"/>
        <w:gridCol w:w="109"/>
        <w:gridCol w:w="211"/>
        <w:gridCol w:w="826"/>
        <w:gridCol w:w="155"/>
      </w:tblGrid>
      <w:tr>
        <w:trPr/>
        <w:tc>
          <w:tcPr>
            <w:tcW w:w="3183"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503,478 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302,026 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 shares authorized as of September 30, 2023 and December 31, 2022; No shares issued and outstanding as of September 30, 2023 and December 31,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1,000,000 Class A shares authorized as of September 30, 2023 and December 31, 2022; 44,682 shares issued and 42,034 shares outstanding as of September 30, 2023; 43,452 shares issued and outstanding as of December 31, 2022; 1,000,000 Class B shares authorized as of September 30, 2023 and December 31, 2022; 12,314 shares issued and 9,174 shares outstanding as of September 30, 2023; 12,393 shares issued and 9,253 shares outstanding as of December 31,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5,788 and 3,140 shares as of September 30,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3" name="Frame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OPERATIONS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69"/>
        <w:gridCol w:w="1359"/>
        <w:gridCol w:w="1359"/>
        <w:gridCol w:w="221"/>
        <w:gridCol w:w="756"/>
        <w:gridCol w:w="114"/>
        <w:gridCol w:w="114"/>
        <w:gridCol w:w="114"/>
        <w:gridCol w:w="114"/>
        <w:gridCol w:w="221"/>
        <w:gridCol w:w="756"/>
        <w:gridCol w:w="114"/>
        <w:gridCol w:w="109"/>
        <w:gridCol w:w="109"/>
        <w:gridCol w:w="109"/>
        <w:gridCol w:w="211"/>
        <w:gridCol w:w="826"/>
        <w:gridCol w:w="109"/>
        <w:gridCol w:w="109"/>
        <w:gridCol w:w="109"/>
        <w:gridCol w:w="109"/>
        <w:gridCol w:w="211"/>
        <w:gridCol w:w="826"/>
        <w:gridCol w:w="157"/>
      </w:tblGrid>
      <w:tr>
        <w:trPr/>
        <w:tc>
          <w:tcPr>
            <w:tcW w:w="196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of Class A and Class B stock</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of Class A and Class B stock</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(loss) per share attributable to common stockholders:</w:t>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for the nine months ended September 30, 2023 include a provision for bad debt of $5.7 million relating to a Demand Side Platform (“DSP”) buyer of our platform that filed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13080"/>
                <wp:effectExtent l="0" t="0" r="0" b="0"/>
                <wp:wrapNone/>
                <wp:docPr id="4" name="Frame4"/>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69"/>
        <w:gridCol w:w="1461"/>
        <w:gridCol w:w="1465"/>
        <w:gridCol w:w="254"/>
        <w:gridCol w:w="745"/>
        <w:gridCol w:w="131"/>
        <w:gridCol w:w="131"/>
        <w:gridCol w:w="131"/>
        <w:gridCol w:w="131"/>
        <w:gridCol w:w="254"/>
        <w:gridCol w:w="745"/>
        <w:gridCol w:w="131"/>
        <w:gridCol w:w="109"/>
        <w:gridCol w:w="109"/>
        <w:gridCol w:w="109"/>
        <w:gridCol w:w="228"/>
        <w:gridCol w:w="746"/>
        <w:gridCol w:w="117"/>
        <w:gridCol w:w="117"/>
        <w:gridCol w:w="117"/>
        <w:gridCol w:w="117"/>
        <w:gridCol w:w="228"/>
        <w:gridCol w:w="781"/>
        <w:gridCol w:w="179"/>
      </w:tblGrid>
      <w:tr>
        <w:trPr/>
        <w:tc>
          <w:tcPr>
            <w:tcW w:w="166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3080"/>
                <wp:effectExtent l="0" t="0" r="0" b="0"/>
                <wp:wrapNone/>
                <wp:docPr id="5" name="Frame5"/>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676"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368"/>
        <w:gridCol w:w="656"/>
        <w:gridCol w:w="192"/>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676"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72"/>
        <w:gridCol w:w="2403"/>
        <w:gridCol w:w="2411"/>
        <w:gridCol w:w="225"/>
        <w:gridCol w:w="769"/>
        <w:gridCol w:w="116"/>
        <w:gridCol w:w="116"/>
        <w:gridCol w:w="116"/>
        <w:gridCol w:w="116"/>
        <w:gridCol w:w="225"/>
        <w:gridCol w:w="769"/>
        <w:gridCol w:w="167"/>
      </w:tblGrid>
      <w:tr>
        <w:trPr/>
        <w:tc>
          <w:tcPr>
            <w:tcW w:w="2772"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and impairment of equity investment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 on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non-current </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net of cash acquired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for employee stock purchase plan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acquire treasury stock</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End of period</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AND FINANCING INFORMATION:</w:t>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as internal-use software costs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liabilities</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accounts payable and accrued liabilities</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purchase consideration - indemnification claims holdback</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PUBMATIC,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December 31, and its fiscal quarters end on March 31, June 30, September 30, and December 31. References to fiscal year 2023, for example, refer to the fiscal year ending December 31,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Condensed Consolidated Financial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2023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2022, as filed with the SEC on February 28, 2023 (the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 Certain prior period amounts reported in our condensed consolidated financial statements and notes thereto have been reclassified to conform to the current period presentation.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September 30, 2023, may result in actual outcomes that differ from those contemplated by the Company’s assumptions and estimates.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Impairment of Equity Investment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the Company concluded there was no longer a readily determinable fair value for its equity investment because the shares of the issuer were no longer publicly quoted pursuant to SEC Rule 15c2-11. The Company evaluated the measurement guidance for non-marketable equity securities and performed a qualitative assessment of various impairment indicators and concluded the equity investment was impaired as of September 30, 2022. As a result, the Company recognized an impairment loss equal to the difference between the fair value of the investment and its carrying amount. An impairment charge of $6.4 million was recorded within other income (expense), net in the condensed consolidated statements of operations for the three and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Revenue and Accounts Receivable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its revenue concentration based on revenue recognized from individual publishers. For the three months ended September 30, 2023 and 2022, one publisher represented less than 10% and 13%, respectively, and less than 10% and 13% for the nine months ended September 30, 2023 and 2022, respectively, of the Company’s revenue. As of September 30, 2023, two buyers accounted for 32% and 18%, respectively, of accounts receivable. As of December 31, 2022, three buyers accounted for 33%, 15%, and 11%, respectively, of accounts receivable.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credit losses (in thousands):</w:t>
      </w:r>
    </w:p>
    <w:tbl>
      <w:tblPr>
        <w:tblW w:w="9546" w:type="dxa"/>
        <w:jc w:val="left"/>
        <w:tblInd w:w="0" w:type="dxa"/>
        <w:tblLayout w:type="fixed"/>
        <w:tblCellMar>
          <w:top w:w="28" w:type="dxa"/>
          <w:left w:w="28" w:type="dxa"/>
          <w:bottom w:w="28" w:type="dxa"/>
          <w:right w:w="28" w:type="dxa"/>
        </w:tblCellMar>
      </w:tblPr>
      <w:tblGrid>
        <w:gridCol w:w="1413"/>
        <w:gridCol w:w="1239"/>
        <w:gridCol w:w="1247"/>
        <w:gridCol w:w="245"/>
        <w:gridCol w:w="840"/>
        <w:gridCol w:w="127"/>
        <w:gridCol w:w="127"/>
        <w:gridCol w:w="127"/>
        <w:gridCol w:w="127"/>
        <w:gridCol w:w="245"/>
        <w:gridCol w:w="718"/>
        <w:gridCol w:w="127"/>
        <w:gridCol w:w="109"/>
        <w:gridCol w:w="109"/>
        <w:gridCol w:w="109"/>
        <w:gridCol w:w="237"/>
        <w:gridCol w:w="810"/>
        <w:gridCol w:w="122"/>
        <w:gridCol w:w="122"/>
        <w:gridCol w:w="122"/>
        <w:gridCol w:w="122"/>
        <w:gridCol w:w="237"/>
        <w:gridCol w:w="692"/>
        <w:gridCol w:w="173"/>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beginning balance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provision for expected credit losses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ending balance</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nine months ended September 30,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Financial Accounting Standards Board (“FASB”) issued Accounting Standards Update (“ASU”) No. 2021-08, Business Combinations (Topic 805): Accounting for Contract Assets and Contract Liabilities from Contracts with Customers, which requires contract assets and contract liabilities acquired in a business combination to be recognized and measured in accordance with Topic 606, Revenue from Contracts with Customers, as if the acquirer had originated the contracts. Under previous GAAP, such assets and liabilities were recognized by the acquirer at fair value on the acquisition date. The Company adopted ASU 2021-08 as of January 1, 2023. The adoption of ASU 2021-08 did not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Fair Value Measurements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and liabilities measured on a recurring basis by level within the fair value hierarchy (in thousands): </w:t>
      </w:r>
    </w:p>
    <w:tbl>
      <w:tblPr>
        <w:tblW w:w="8760" w:type="dxa"/>
        <w:jc w:val="left"/>
        <w:tblInd w:w="0" w:type="dxa"/>
        <w:tblLayout w:type="fixed"/>
        <w:tblCellMar>
          <w:top w:w="28" w:type="dxa"/>
          <w:left w:w="28" w:type="dxa"/>
          <w:bottom w:w="28" w:type="dxa"/>
          <w:right w:w="28" w:type="dxa"/>
        </w:tblCellMar>
      </w:tblPr>
      <w:tblGrid>
        <w:gridCol w:w="1368"/>
        <w:gridCol w:w="1202"/>
        <w:gridCol w:w="121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securities by significant investment categories (in thousands):</w:t>
      </w:r>
    </w:p>
    <w:tbl>
      <w:tblPr>
        <w:tblW w:w="9626" w:type="dxa"/>
        <w:jc w:val="left"/>
        <w:tblInd w:w="0" w:type="dxa"/>
        <w:tblLayout w:type="fixed"/>
        <w:tblCellMar>
          <w:top w:w="28" w:type="dxa"/>
          <w:left w:w="28" w:type="dxa"/>
          <w:bottom w:w="28" w:type="dxa"/>
          <w:right w:w="28" w:type="dxa"/>
        </w:tblCellMar>
      </w:tblPr>
      <w:tblGrid>
        <w:gridCol w:w="1368"/>
        <w:gridCol w:w="1203"/>
        <w:gridCol w:w="1208"/>
        <w:gridCol w:w="252"/>
        <w:gridCol w:w="863"/>
        <w:gridCol w:w="130"/>
        <w:gridCol w:w="109"/>
        <w:gridCol w:w="109"/>
        <w:gridCol w:w="109"/>
        <w:gridCol w:w="374"/>
        <w:gridCol w:w="721"/>
        <w:gridCol w:w="195"/>
        <w:gridCol w:w="109"/>
        <w:gridCol w:w="109"/>
        <w:gridCol w:w="109"/>
        <w:gridCol w:w="361"/>
        <w:gridCol w:w="696"/>
        <w:gridCol w:w="188"/>
        <w:gridCol w:w="109"/>
        <w:gridCol w:w="109"/>
        <w:gridCol w:w="109"/>
        <w:gridCol w:w="211"/>
        <w:gridCol w:w="7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contractual maturity of all marketable securities was within one year as of September 30, 2023 and December 31, 2022. Realized gains and losses were not material for the nine months ended September 30, 2023 and 2022. As of September 30, 2023 and 2022, there were no securities that were in an unrealized loss position for more than twelve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7030" w:type="dxa"/>
        <w:jc w:val="left"/>
        <w:tblInd w:w="0" w:type="dxa"/>
        <w:tblLayout w:type="fixed"/>
        <w:tblCellMar>
          <w:top w:w="28" w:type="dxa"/>
          <w:left w:w="28" w:type="dxa"/>
          <w:bottom w:w="28" w:type="dxa"/>
          <w:right w:w="28" w:type="dxa"/>
        </w:tblCellMar>
      </w:tblPr>
      <w:tblGrid>
        <w:gridCol w:w="1600"/>
        <w:gridCol w:w="1408"/>
        <w:gridCol w:w="1416"/>
        <w:gridCol w:w="231"/>
        <w:gridCol w:w="790"/>
        <w:gridCol w:w="119"/>
        <w:gridCol w:w="109"/>
        <w:gridCol w:w="109"/>
        <w:gridCol w:w="109"/>
        <w:gridCol w:w="221"/>
        <w:gridCol w:w="757"/>
        <w:gridCol w:w="161"/>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hardware, computer equipment and software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61,915 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71,156 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equipment, and software (excluding amortization of internal-use software) was $7.2 million and $6.4 million for the three months ended September 30, 2023 and 2022, respectively, and $21.8 million and $16.3 million for the nine months ended September 30, 2023 and 2022,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$5.0 million and $3.5 million in software development costs during the three months ended September 30, 2023 and 2022, respectively, and $15.9 million and $10.3 million for the nine months ended September 30, 2023 and 2022, respectively. Amortization expense of internal-use software was $3.8 million and $2.6 million during the three months ended September 30, 2023 and 2022, respectively, and $9.9 million and $7.2 million for the nine months ended September 30, 2023 and 2022, respectively. These costs are included within cost of revenue in the condensed consolidated statements of operations.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recognize any impairment charges on its long-lived assets during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Payable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consisted of the following (in thousands):</w:t>
      </w:r>
    </w:p>
    <w:tbl>
      <w:tblPr>
        <w:tblW w:w="4824" w:type="dxa"/>
        <w:jc w:val="left"/>
        <w:tblInd w:w="0" w:type="dxa"/>
        <w:tblLayout w:type="fixed"/>
        <w:tblCellMar>
          <w:top w:w="28" w:type="dxa"/>
          <w:left w:w="28" w:type="dxa"/>
          <w:bottom w:w="28" w:type="dxa"/>
          <w:right w:w="28" w:type="dxa"/>
        </w:tblCellMar>
      </w:tblPr>
      <w:tblGrid>
        <w:gridCol w:w="782"/>
        <w:gridCol w:w="688"/>
        <w:gridCol w:w="690"/>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651" w:type="dxa"/>
        <w:jc w:val="left"/>
        <w:tblInd w:w="0" w:type="dxa"/>
        <w:tblLayout w:type="fixed"/>
        <w:tblCellMar>
          <w:top w:w="28" w:type="dxa"/>
          <w:left w:w="28" w:type="dxa"/>
          <w:bottom w:w="28" w:type="dxa"/>
          <w:right w:w="28" w:type="dxa"/>
        </w:tblCellMar>
      </w:tblPr>
      <w:tblGrid>
        <w:gridCol w:w="1103"/>
        <w:gridCol w:w="968"/>
        <w:gridCol w:w="974"/>
        <w:gridCol w:w="231"/>
        <w:gridCol w:w="790"/>
        <w:gridCol w:w="119"/>
        <w:gridCol w:w="109"/>
        <w:gridCol w:w="109"/>
        <w:gridCol w:w="109"/>
        <w:gridCol w:w="221"/>
        <w:gridCol w:w="757"/>
        <w:gridCol w:w="16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25,031 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 Senior Secured Credit Facilities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9)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As of September 30, 2023, the applicable interest rate under the revolving credit facility was 7.52%.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use amounts borrowed under the Credit Agreement for general corporate purposes or working capital financing. The Company may borrow additional amounts under the Credit Agreement from time to time as opportunities and needs arise. As of September 30, 2023, the Company has not drawn down on the credit facility.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(in thousands):</w:t>
      </w:r>
    </w:p>
    <w:tbl>
      <w:tblPr>
        <w:tblW w:w="7402" w:type="dxa"/>
        <w:jc w:val="left"/>
        <w:tblInd w:w="0" w:type="dxa"/>
        <w:tblLayout w:type="fixed"/>
        <w:tblCellMar>
          <w:top w:w="28" w:type="dxa"/>
          <w:left w:w="28" w:type="dxa"/>
          <w:bottom w:w="28" w:type="dxa"/>
          <w:right w:w="28" w:type="dxa"/>
        </w:tblCellMar>
      </w:tblPr>
      <w:tblGrid>
        <w:gridCol w:w="635"/>
        <w:gridCol w:w="558"/>
        <w:gridCol w:w="562"/>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 weighted average discount rate of 3.26% and 2.24% has been applied to the remaining operating and finance lease payments, respectively, to calculate the lease liabilities included within the condensed consolidated balance sheets. The weighted average remaining lease term of operating and finance leases is 4.0 and 4.5 years, respectively, as of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maturities of lease liabilities under operating and finance leases were as follows (in thousands):</w:t>
      </w:r>
    </w:p>
    <w:tbl>
      <w:tblPr>
        <w:tblW w:w="7454" w:type="dxa"/>
        <w:jc w:val="left"/>
        <w:tblInd w:w="0" w:type="dxa"/>
        <w:tblLayout w:type="fixed"/>
        <w:tblCellMar>
          <w:top w:w="28" w:type="dxa"/>
          <w:left w:w="28" w:type="dxa"/>
          <w:bottom w:w="28" w:type="dxa"/>
          <w:right w:w="28" w:type="dxa"/>
        </w:tblCellMar>
      </w:tblPr>
      <w:tblGrid>
        <w:gridCol w:w="1145"/>
        <w:gridCol w:w="1006"/>
        <w:gridCol w:w="1013"/>
        <w:gridCol w:w="276"/>
        <w:gridCol w:w="946"/>
        <w:gridCol w:w="143"/>
        <w:gridCol w:w="109"/>
        <w:gridCol w:w="109"/>
        <w:gridCol w:w="109"/>
        <w:gridCol w:w="318"/>
        <w:gridCol w:w="703"/>
        <w:gridCol w:w="164"/>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 Business Combination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2022, the Company acquired all outstanding stock of ConsultMates, Inc. (dba “Martin”), a media measurement and reporting platform, for $30.8 million. The acquisition is in response to growing demand from the Company’s buy-side customers for enhanced tools to take advantage of the Company’s global omnichannel inventory, including market-leading addressability solutions and innovative technology to enable supply path optimization. The assets acquired and liabilities assumed were recorded at fair value. The purchase price excludes $14.2 million of post-acquisition cash compensation arrangements for certain key acquired employees to be paid ratably over three years following the closing of the acquisition (subject to forfeiture upon termination). The purchase price was attributed to $7.9 million of developed technology intangible assets, $1.0 million of customer relationship intangible assets, $23.3 million of goodwill, $1.1 million of deferred tax liabilities, and $0.3 million of net liabilities assumed. The goodwill recognized was primarily attributable to the assembled workforce and the expected synergies from integrating Martin’s technology into the Company’s platform. Goodwill is not expected to be deductible for tax purposes. The financial results of Martin are included in the Company’s condensed consolidated financial statements from the date of acquisition. Separate operating results and pro forma results of operations for Martin have not been presented as the effect of this acquisition was not material to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 Acquisition-related Intangible Assets, Net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Acquisition-related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 consisted of the following (in thousands):</w:t>
      </w:r>
    </w:p>
    <w:tbl>
      <w:tblPr>
        <w:tblW w:w="9878" w:type="dxa"/>
        <w:jc w:val="left"/>
        <w:tblInd w:w="0" w:type="dxa"/>
        <w:tblLayout w:type="fixed"/>
        <w:tblCellMar>
          <w:top w:w="28" w:type="dxa"/>
          <w:left w:w="28" w:type="dxa"/>
          <w:bottom w:w="28" w:type="dxa"/>
          <w:right w:w="28" w:type="dxa"/>
        </w:tblCellMar>
      </w:tblPr>
      <w:tblGrid>
        <w:gridCol w:w="1277"/>
        <w:gridCol w:w="1120"/>
        <w:gridCol w:w="1127"/>
        <w:gridCol w:w="422"/>
        <w:gridCol w:w="1235"/>
        <w:gridCol w:w="218"/>
        <w:gridCol w:w="109"/>
        <w:gridCol w:w="109"/>
        <w:gridCol w:w="109"/>
        <w:gridCol w:w="465"/>
        <w:gridCol w:w="1362"/>
        <w:gridCol w:w="243"/>
        <w:gridCol w:w="109"/>
        <w:gridCol w:w="109"/>
        <w:gridCol w:w="109"/>
        <w:gridCol w:w="377"/>
        <w:gridCol w:w="1103"/>
        <w:gridCol w:w="275"/>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useful life of developed technology was 4 years as of September 30, 2023. Amortization expense related to acquisition-related intangibles was $0.4 million and $0.1 million for the three months ended September 30, 2023 and 2022, respectively, and $2.0 million and $0.1 million for the nine months ended September 30, 2023 and 2022,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estimated future amortization expense for acquisition-related intangible assets was as follows (in thousands):</w:t>
      </w:r>
    </w:p>
    <w:tbl>
      <w:tblPr>
        <w:tblW w:w="8319" w:type="dxa"/>
        <w:jc w:val="left"/>
        <w:tblInd w:w="0" w:type="dxa"/>
        <w:tblLayout w:type="fixed"/>
        <w:tblCellMar>
          <w:top w:w="28" w:type="dxa"/>
          <w:left w:w="28" w:type="dxa"/>
          <w:bottom w:w="28" w:type="dxa"/>
          <w:right w:w="28" w:type="dxa"/>
        </w:tblCellMar>
      </w:tblPr>
      <w:tblGrid>
        <w:gridCol w:w="2616"/>
        <w:gridCol w:w="2298"/>
        <w:gridCol w:w="2315"/>
        <w:gridCol w:w="109"/>
        <w:gridCol w:w="211"/>
        <w:gridCol w:w="616"/>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estimated future amortization expense for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9 – Commitments and Contingencies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 obligations primarily relate to minimum contractual payments due to data center providers. During the three and nine months ended September 30, 2023, there were no material changes to the Company’s non-cancelable purchase obligations disclosed in the Company’s Annual Report on Form 10-K for the fiscal year ended December 31,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two irrevocable letters of credit outstanding related to non-cancelable facilities leases in the amounts of $3.5 million and $0.5 million, with annual automatic renewal and final expiration dates in July 2028 and April 2025,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 Stockholders’ Equity and Equity Incentive Plans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Company’s board of directors authorized the Company to repurchase up to $75 million of its Class A common stock (“2023 Repurchase Program”). As of September 30, 2023, $35.9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authorization of the Company’s board of directors, during the three and nine months ended September 30, 2023, the Company repurchased 1,061,762 and 2,647,958 aggregate shares of Class A common stock for $15.6 million and $39.1 million,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2020 Equity Incentive Plan (“2020 Plan”), pursuant to which the Company may grant stock options, restricted stock awards, stock appreciation rights, restricted stock units (“RSUs”), deferred stock units (“DSUs”) performance awards, and stock bonus awards. As of September 30, 2023, the Company has reserved 6,679,859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and related information under the Company’s equity incentive plans:</w:t>
      </w:r>
    </w:p>
    <w:tbl>
      <w:tblPr>
        <w:tblW w:w="10205" w:type="dxa"/>
        <w:jc w:val="left"/>
        <w:tblInd w:w="0" w:type="dxa"/>
        <w:tblLayout w:type="fixed"/>
        <w:tblCellMar>
          <w:top w:w="28" w:type="dxa"/>
          <w:left w:w="28" w:type="dxa"/>
          <w:bottom w:w="28" w:type="dxa"/>
          <w:right w:w="28" w:type="dxa"/>
        </w:tblCellMar>
      </w:tblPr>
      <w:tblGrid>
        <w:gridCol w:w="720"/>
        <w:gridCol w:w="632"/>
        <w:gridCol w:w="636"/>
        <w:gridCol w:w="610"/>
        <w:gridCol w:w="610"/>
        <w:gridCol w:w="612"/>
        <w:gridCol w:w="109"/>
        <w:gridCol w:w="109"/>
        <w:gridCol w:w="109"/>
        <w:gridCol w:w="452"/>
        <w:gridCol w:w="1096"/>
        <w:gridCol w:w="235"/>
        <w:gridCol w:w="109"/>
        <w:gridCol w:w="109"/>
        <w:gridCol w:w="109"/>
        <w:gridCol w:w="646"/>
        <w:gridCol w:w="646"/>
        <w:gridCol w:w="648"/>
        <w:gridCol w:w="109"/>
        <w:gridCol w:w="109"/>
        <w:gridCol w:w="109"/>
        <w:gridCol w:w="325"/>
        <w:gridCol w:w="1112"/>
        <w:gridCol w:w="244"/>
      </w:tblGrid>
      <w:tr>
        <w:trPr/>
        <w:tc>
          <w:tcPr>
            <w:tcW w:w="7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Options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September 30, 2023</w:t>
            </w:r>
          </w:p>
        </w:tc>
        <w:tc>
          <w:tcPr>
            <w:tcW w:w="12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44,813 </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unrecognized stock-based compensation of $17.1 million related to unvested stock options will be recognized on a straight-line basis over a weighted average period of 2.42 years.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and related information under the Company’s 2020 Plan:</w:t>
      </w:r>
    </w:p>
    <w:tbl>
      <w:tblPr>
        <w:tblW w:w="8679" w:type="dxa"/>
        <w:jc w:val="left"/>
        <w:tblInd w:w="0" w:type="dxa"/>
        <w:tblLayout w:type="fixed"/>
        <w:tblCellMar>
          <w:top w:w="28" w:type="dxa"/>
          <w:left w:w="28" w:type="dxa"/>
          <w:bottom w:w="28" w:type="dxa"/>
          <w:right w:w="28" w:type="dxa"/>
        </w:tblCellMar>
      </w:tblPr>
      <w:tblGrid>
        <w:gridCol w:w="1075"/>
        <w:gridCol w:w="944"/>
        <w:gridCol w:w="950"/>
        <w:gridCol w:w="469"/>
        <w:gridCol w:w="469"/>
        <w:gridCol w:w="471"/>
        <w:gridCol w:w="109"/>
        <w:gridCol w:w="109"/>
        <w:gridCol w:w="109"/>
        <w:gridCol w:w="854"/>
        <w:gridCol w:w="2494"/>
        <w:gridCol w:w="626"/>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September 30,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unrecognized stock-based compensation of $54.2 million related to unvested RSUs will be recognized on a straight-line basis over a weighted average period of 2.82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board of directors adopted, and its stockholders approved, the 2020 Employee Stock Purchase Plan (“ESPP”), which became effective in connection with the Company’s initial public offering. A total of 500,000 shares of the Company’s Class A common stock were initially reserved for issuance under the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September 30, 2023, the Company had reserved 464,796 shares of its Class A common stock for issuance under the ESPP.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September 30, 2023, $0.7 million has been withheld on behalf of employees for a future purchase under the ESPP due to the timing of payroll deductions and is included in accrued liabilities. For the nine months ended September 30, 2023, there were 65,092 shares of our Class A common stock purchased under the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unrecognized stock-based compensation expense related to the ESPP was $0.7 million, which is expected to be recognized over a weighted-average period of 0.67 years.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condensed consolidated statements of operations was as follows (in thousands):</w:t>
      </w:r>
    </w:p>
    <w:tbl>
      <w:tblPr>
        <w:tblW w:w="10205" w:type="dxa"/>
        <w:jc w:val="left"/>
        <w:tblInd w:w="0" w:type="dxa"/>
        <w:tblLayout w:type="fixed"/>
        <w:tblCellMar>
          <w:top w:w="28" w:type="dxa"/>
          <w:left w:w="28" w:type="dxa"/>
          <w:bottom w:w="28" w:type="dxa"/>
          <w:right w:w="28" w:type="dxa"/>
        </w:tblCellMar>
      </w:tblPr>
      <w:tblGrid>
        <w:gridCol w:w="1670"/>
        <w:gridCol w:w="1465"/>
        <w:gridCol w:w="1460"/>
        <w:gridCol w:w="254"/>
        <w:gridCol w:w="744"/>
        <w:gridCol w:w="131"/>
        <w:gridCol w:w="131"/>
        <w:gridCol w:w="131"/>
        <w:gridCol w:w="131"/>
        <w:gridCol w:w="254"/>
        <w:gridCol w:w="744"/>
        <w:gridCol w:w="131"/>
        <w:gridCol w:w="109"/>
        <w:gridCol w:w="109"/>
        <w:gridCol w:w="109"/>
        <w:gridCol w:w="226"/>
        <w:gridCol w:w="771"/>
        <w:gridCol w:w="116"/>
        <w:gridCol w:w="116"/>
        <w:gridCol w:w="116"/>
        <w:gridCol w:w="116"/>
        <w:gridCol w:w="226"/>
        <w:gridCol w:w="771"/>
        <w:gridCol w:w="174"/>
      </w:tblGrid>
      <w:tr>
        <w:trPr/>
        <w:tc>
          <w:tcPr>
            <w:tcW w:w="167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 effect</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 Net Income (Loss) Per Share Attributable to Common Stockholders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classes of common stock, Class A and Class B. Basic and diluted earnings per share (“EPS”) attributable to common stockholders for Class A and Class B common stock were the same because they were entitled to the same liquidation and dividend rights.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40"/>
        <w:gridCol w:w="1509"/>
        <w:gridCol w:w="1518"/>
        <w:gridCol w:w="244"/>
        <w:gridCol w:w="714"/>
        <w:gridCol w:w="126"/>
        <w:gridCol w:w="126"/>
        <w:gridCol w:w="126"/>
        <w:gridCol w:w="126"/>
        <w:gridCol w:w="244"/>
        <w:gridCol w:w="714"/>
        <w:gridCol w:w="126"/>
        <w:gridCol w:w="109"/>
        <w:gridCol w:w="109"/>
        <w:gridCol w:w="109"/>
        <w:gridCol w:w="224"/>
        <w:gridCol w:w="718"/>
        <w:gridCol w:w="115"/>
        <w:gridCol w:w="115"/>
        <w:gridCol w:w="115"/>
        <w:gridCol w:w="115"/>
        <w:gridCol w:w="224"/>
        <w:gridCol w:w="767"/>
        <w:gridCol w:w="172"/>
      </w:tblGrid>
      <w:tr>
        <w:trPr/>
        <w:tc>
          <w:tcPr>
            <w:tcW w:w="174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common stockholders – basic</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Denominator:</w:t>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 basic</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52,436 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4,701 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stock purchase plan shares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 diluted</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55,979 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56,944 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56,895 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 attributable to common stockholders – 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0.03 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0.06 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(0.19)</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0.28 </w:t>
            </w:r>
          </w:p>
        </w:tc>
        <w:tc>
          <w:tcPr>
            <w:tcW w:w="1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shares of common stock equivalents were excluded from the computation of diluted net income (loss) per share attributable to common stockholders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2071"/>
        <w:gridCol w:w="1772"/>
        <w:gridCol w:w="1779"/>
        <w:gridCol w:w="298"/>
        <w:gridCol w:w="236"/>
        <w:gridCol w:w="211"/>
        <w:gridCol w:w="211"/>
        <w:gridCol w:w="211"/>
        <w:gridCol w:w="211"/>
        <w:gridCol w:w="298"/>
        <w:gridCol w:w="236"/>
        <w:gridCol w:w="211"/>
        <w:gridCol w:w="109"/>
        <w:gridCol w:w="109"/>
        <w:gridCol w:w="109"/>
        <w:gridCol w:w="280"/>
        <w:gridCol w:w="235"/>
        <w:gridCol w:w="202"/>
        <w:gridCol w:w="202"/>
        <w:gridCol w:w="202"/>
        <w:gridCol w:w="202"/>
        <w:gridCol w:w="280"/>
        <w:gridCol w:w="235"/>
        <w:gridCol w:w="295"/>
      </w:tblGrid>
      <w:tr>
        <w:trPr/>
        <w:tc>
          <w:tcPr>
            <w:tcW w:w="207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22"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2,269</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2,134</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1,008</w:t>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Unvested restricted stock units</w:t>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1,337</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1,096</w:t>
            </w:r>
          </w:p>
        </w:tc>
      </w:tr>
      <w:tr>
        <w:trPr/>
        <w:tc>
          <w:tcPr>
            <w:tcW w:w="5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ESPP</w:t>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w:t>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 excluded from net income per share attributable to common stockholders – diluted</w:t>
            </w:r>
          </w:p>
        </w:tc>
        <w:tc>
          <w:tcPr>
            <w:tcW w:w="7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2,938</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3,521</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 Income Taxes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calculated the provision for income taxes during interim reporting periods by applying an estimate of the annual effective tax rate ("AETR") for the full fiscal year to “ordinary” income or loss (pretax income or loss excluding unusual or infrequently occurring discrete items) for the reporting period. The discrete effective tax rate method has been used to calculate taxes for the fiscal three and nine months ended September 30, 2023. The Company has determined that since small changes in estimated “ordinary” income would result in significant changes in the estimated AETR, the historical method would not provide a reliable estimate for the fiscal three and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provision for income taxes of $0.1 million and $1.4 million for the three months ended September 30, 2023 and 2022, respectively, and an income tax benefit of $2.7 million and provision for income taxes of $4.7 million for the nine months ended September 30, 2023 and 2022,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6% and 30% for the three months ended September 30, 2023 and 2022, respectively, and 22% and 23% for the nine months ended September 30, 2023 and 2022, respectively. The income tax provision for the three months ended September 30, 2023 is related to the net tax benefit primarily related to the 2022 federal tax provision to return adjustments resulting from guidance under the Internal Revenue Service notice 2023-63 and the requirement to capitalize and amortize certain research and development costs under the U.S. Tax Cuts and Jobs Act for 2022 and 2023 tax years, an increase in research tax credits, offset by a decrease in the GILTI provision. The income tax benefit for the nine months ended September 30, 2023 is mainly from foreign-derived intangible income (FDII), research tax credit, and 2022 federal tax provision to return adjustments that were classified as a change in estimate, offset by an increase in tax expense primarily related to nondeductible stock-based compensation, and Section 162(m) limitation on the tax deductibility of officers’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13 – Segment Information</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revenue by geographic area based on the publisher’s billing address (in thousands):</w:t>
      </w:r>
    </w:p>
    <w:tbl>
      <w:tblPr>
        <w:tblW w:w="7171" w:type="dxa"/>
        <w:jc w:val="left"/>
        <w:tblInd w:w="0" w:type="dxa"/>
        <w:tblLayout w:type="fixed"/>
        <w:tblCellMar>
          <w:top w:w="28" w:type="dxa"/>
          <w:left w:w="28" w:type="dxa"/>
          <w:bottom w:w="28" w:type="dxa"/>
          <w:right w:w="28" w:type="dxa"/>
        </w:tblCellMar>
      </w:tblPr>
      <w:tblGrid>
        <w:gridCol w:w="544"/>
        <w:gridCol w:w="476"/>
        <w:gridCol w:w="47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long-lived assets, net, which consist primarily of property and equipment and operating lease right-of-use assets, by geographic area (in thousands):</w:t>
      </w:r>
    </w:p>
    <w:tbl>
      <w:tblPr>
        <w:tblW w:w="4105" w:type="dxa"/>
        <w:jc w:val="left"/>
        <w:tblInd w:w="0" w:type="dxa"/>
        <w:tblLayout w:type="fixed"/>
        <w:tblCellMar>
          <w:top w:w="28" w:type="dxa"/>
          <w:left w:w="28" w:type="dxa"/>
          <w:bottom w:w="28" w:type="dxa"/>
          <w:right w:w="28" w:type="dxa"/>
        </w:tblCellMar>
      </w:tblPr>
      <w:tblGrid>
        <w:gridCol w:w="544"/>
        <w:gridCol w:w="476"/>
        <w:gridCol w:w="479"/>
        <w:gridCol w:w="231"/>
        <w:gridCol w:w="790"/>
        <w:gridCol w:w="119"/>
        <w:gridCol w:w="109"/>
        <w:gridCol w:w="109"/>
        <w:gridCol w:w="109"/>
        <w:gridCol w:w="221"/>
        <w:gridCol w:w="757"/>
        <w:gridCol w:w="161"/>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 401(k)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$1.0 million and $0.9 million in matching contributions to the 401(k) Plan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2021 included in our Annual Report on Form 10-K filed with the U.S. Securities and Exchange Commission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our platform efficiently processed approximately 627 billion ad impressions daily, each in a fraction of a second. As of September 30, 2023, we served over 1,750 publishers and app developers representing over 95,000 individual domains and apps worldwide on our platform across a diverse group of content verticals such as news, e-commerce, gaming, media, weather, fashion, technology, and more, including many of the leading digital companies such as Yahoo, formerly Verizon Media Group, and News Corp. Our net dollar-based retention rate of 97% for the trailing twelve months ended September 30, 2023 decreased from 120% for the trailing twelve months ended September 30, 2022, primarily due to a decline in run rate from one of our publishers.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written service agreements with our DSP buyers that allow them to use our platform to buy ad inventory, however substantially all of our revenues are earned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mobile (including mobile video) and video (including OTT/CTV) combined comprised approximately 76% of our revenue. We anticipate mobile to continue increasing as a percentage of our total impressions and revenue in the future. We further expect video to constitute an increasingly important component of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Macroeconomic Factors and COVID-19</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Ongoing interest rate increases, foreign currency fluctuation, persistent inflation in the U.S. and other markets globally, the conflicts in Ukraine and Israel, recent turmoil in the global banking and finance system and lingering effects of the COVID-19 pandemic, including the global slowdown of economic activity and disruptions to the advertising and marketing activities, may increase the risk of economic volatility and dislocation in the capital or credit markets in the U.S. or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for further discussion of the risks related to the COVID-19 pandemic, inflation, rising interest rates, and foreign currency fluctuations on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financial highlights of our business performance:</w:t>
      </w:r>
    </w:p>
    <w:tbl>
      <w:tblPr>
        <w:tblW w:w="9137" w:type="dxa"/>
        <w:jc w:val="left"/>
        <w:tblInd w:w="0" w:type="dxa"/>
        <w:tblLayout w:type="fixed"/>
        <w:tblCellMar>
          <w:top w:w="28" w:type="dxa"/>
          <w:left w:w="28" w:type="dxa"/>
          <w:bottom w:w="28" w:type="dxa"/>
          <w:right w:w="28" w:type="dxa"/>
        </w:tblCellMar>
      </w:tblPr>
      <w:tblGrid>
        <w:gridCol w:w="1250"/>
        <w:gridCol w:w="1102"/>
        <w:gridCol w:w="1113"/>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income (loss)</w:t>
            </w:r>
            <w:r>
              <w:rPr>
                <w:rFonts w:ascii="Times New Roman;sans-serif" w:hAnsi="Times New Roman;sans-serif"/>
                <w:b w:val="false"/>
                <w:color w:val="000000"/>
                <w:sz w:val="13"/>
              </w:rPr>
              <w:t>(2)</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income (loss)</w:t>
            </w:r>
            <w:r>
              <w:rPr>
                <w:rFonts w:ascii="Times New Roman;sans-serif" w:hAnsi="Times New Roman;sans-serif"/>
                <w:b w:val="false"/>
                <w:color w:val="000000"/>
                <w:sz w:val="13"/>
              </w:rPr>
              <w:t>(2)</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6"/>
              </w:rPr>
              <w:t>(1)(2)</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a definition of Adjusted EBITDA, an explanation of our management’s use of this measure, and a reconciliation of Adjusted EBITDA to net income, see “Non-GAAP Financial Measure.”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(2)Amounts for the nine months ended September 30, 2023 include a provision for bad debt of $5.7 million relating to a Demand Side Platform (“DSP”) buyer of our platform that filed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growth and financial performance are dependent on many factors, including those described below.</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Growing access to valuable ad impressions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recent results have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56.0 trillion and 42.1 trillion for the three months ended September 30, 2023 and 2022,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Monetizing ad impressions for publishers and buyers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549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Identifying valuable ad impressions that we can profitably monetize at scale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Increasing revenue from publishers and advertising spend from buyers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97% for the trailing twelve months ended September 30, 2023 and 120% for the trailing twelve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Managing industry dynamics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Expanding and managing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Expanding internationally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Managing seasonality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(“GAAP”), including, in particular, operating income (loss), net cash provided by operating activities, and net income (loss), we believe that Adjusted EBITDA, a non-GAAP measure, is useful in evaluating our operating performance. We define Adjusted EBITDA as net income (loss) adjusted for stock-based compensation expense, depreciation and amortization, unrealized gain, loss or impairment of equity investment, interest income, acquisition-related and other expenses, and provision for (benefit from)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Adjusted EBITDA to net income (loss) for each of the periods indicated:</w:t>
      </w:r>
    </w:p>
    <w:tbl>
      <w:tblPr>
        <w:tblW w:w="10055" w:type="dxa"/>
        <w:jc w:val="left"/>
        <w:tblInd w:w="0" w:type="dxa"/>
        <w:tblLayout w:type="fixed"/>
        <w:tblCellMar>
          <w:top w:w="28" w:type="dxa"/>
          <w:left w:w="28" w:type="dxa"/>
          <w:bottom w:w="28" w:type="dxa"/>
          <w:right w:w="28" w:type="dxa"/>
        </w:tblCellMar>
      </w:tblPr>
      <w:tblGrid>
        <w:gridCol w:w="1596"/>
        <w:gridCol w:w="1401"/>
        <w:gridCol w:w="1413"/>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income (loss)</w:t>
            </w:r>
            <w:r>
              <w:rPr>
                <w:rFonts w:ascii="Times New Roman;sans-serif" w:hAnsi="Times New Roman;sans-serif"/>
                <w:b w:val="false"/>
                <w:color w:val="000000"/>
                <w:sz w:val="13"/>
              </w:rPr>
              <w:t>(2)</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and impairment of equity investment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Acquisition-related and other expenses </w:t>
            </w:r>
            <w:r>
              <w:rPr>
                <w:rFonts w:ascii="Times New Roman;sans-serif" w:hAnsi="Times New Roman;sans-serif"/>
                <w:b w:val="false"/>
                <w:color w:val="000000"/>
                <w:sz w:val="14"/>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Beginning in the third quarter fiscal 2023, we no longer exclude the impact of post-acquisition cash compensation arrangements for certain key acquired employees from our Adjusted EBITDA calculation. We have updated prior period results for comparability. For additional information, see Note 7, “Business Combination” to our condensed consolidated financial statements included elsewhere in this Quarterly Report on Form 10-Q.</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(2)Amounts for the nine months ended September 30, 2023 include a provision for bad debt of $5.7 million relating to a DSP buyer of our platform that filed for Chapter 11 bankruptcy.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recognition policies are discussed in more detail under “Critical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interest income, unrealized loss on equity investment and other income (expense), net. Interest income is generated by investing excess cash into money market accounts and marketable securities. Unrealized loss on equity investment consists of loss on our investment in an equity security. Other income (expense), net consists primarily of gains and losses from foreign currency exchange transactions.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consists primarily of federal, state, and foreign income taxes. Our income tax provision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differs from the U.S. federal statutory income tax rate due to state taxes, foreign tax rate differences, research tax credits, and stock-based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results of operations data and such data as a percentage of revenue for the periods presented. The period-to-period comparison of results is not necessarily indicative of results for future periods.</w:t>
      </w:r>
    </w:p>
    <w:tbl>
      <w:tblPr>
        <w:tblW w:w="9107" w:type="dxa"/>
        <w:jc w:val="left"/>
        <w:tblInd w:w="0" w:type="dxa"/>
        <w:tblLayout w:type="fixed"/>
        <w:tblCellMar>
          <w:top w:w="28" w:type="dxa"/>
          <w:left w:w="28" w:type="dxa"/>
          <w:bottom w:w="28" w:type="dxa"/>
          <w:right w:w="28" w:type="dxa"/>
        </w:tblCellMar>
      </w:tblPr>
      <w:tblGrid>
        <w:gridCol w:w="1241"/>
        <w:gridCol w:w="1094"/>
        <w:gridCol w:w="1100"/>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6"/>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6"/>
              </w:rPr>
              <w:t>(2)</w:t>
            </w:r>
            <w:r>
              <w:rPr>
                <w:rFonts w:ascii="Times New Roman;sans-serif" w:hAnsi="Times New Roman;sans-serif"/>
                <w:b w:val="false"/>
                <w:color w:val="000000"/>
                <w:sz w:val="20"/>
              </w:rPr>
              <w:t>:</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for the nine months ended September 30, 2023 include a provision for bad debt of $5.7 million relating to a DSP buyer of our platform that filed for Chapter 11 bankruptcy.</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(2)Amounts include stock-based compensation expense before tax benefit as follows:</w:t>
      </w:r>
    </w:p>
    <w:tbl>
      <w:tblPr>
        <w:tblW w:w="9096" w:type="dxa"/>
        <w:jc w:val="left"/>
        <w:tblInd w:w="0" w:type="dxa"/>
        <w:tblLayout w:type="fixed"/>
        <w:tblCellMar>
          <w:top w:w="28" w:type="dxa"/>
          <w:left w:w="28" w:type="dxa"/>
          <w:bottom w:w="28" w:type="dxa"/>
          <w:right w:w="28" w:type="dxa"/>
        </w:tblCellMar>
      </w:tblPr>
      <w:tblGrid>
        <w:gridCol w:w="1247"/>
        <w:gridCol w:w="1099"/>
        <w:gridCol w:w="1103"/>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tbl>
      <w:tblPr>
        <w:tblW w:w="9198" w:type="dxa"/>
        <w:jc w:val="left"/>
        <w:tblInd w:w="0" w:type="dxa"/>
        <w:tblLayout w:type="fixed"/>
        <w:tblCellMar>
          <w:top w:w="28" w:type="dxa"/>
          <w:left w:w="28" w:type="dxa"/>
          <w:bottom w:w="28" w:type="dxa"/>
          <w:right w:w="28" w:type="dxa"/>
        </w:tblCellMar>
      </w:tblPr>
      <w:tblGrid>
        <w:gridCol w:w="1242"/>
        <w:gridCol w:w="1094"/>
        <w:gridCol w:w="1098"/>
        <w:gridCol w:w="233"/>
        <w:gridCol w:w="233"/>
        <w:gridCol w:w="557"/>
        <w:gridCol w:w="224"/>
        <w:gridCol w:w="224"/>
        <w:gridCol w:w="224"/>
        <w:gridCol w:w="233"/>
        <w:gridCol w:w="233"/>
        <w:gridCol w:w="557"/>
        <w:gridCol w:w="109"/>
        <w:gridCol w:w="109"/>
        <w:gridCol w:w="109"/>
        <w:gridCol w:w="233"/>
        <w:gridCol w:w="233"/>
        <w:gridCol w:w="530"/>
        <w:gridCol w:w="213"/>
        <w:gridCol w:w="213"/>
        <w:gridCol w:w="213"/>
        <w:gridCol w:w="233"/>
        <w:gridCol w:w="233"/>
        <w:gridCol w:w="618"/>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 Cost of Revenue and Gross Profit</w:t>
      </w:r>
    </w:p>
    <w:tbl>
      <w:tblPr>
        <w:tblW w:w="7057" w:type="dxa"/>
        <w:jc w:val="left"/>
        <w:tblInd w:w="0" w:type="dxa"/>
        <w:tblLayout w:type="fixed"/>
        <w:tblCellMar>
          <w:top w:w="28" w:type="dxa"/>
          <w:left w:w="28" w:type="dxa"/>
          <w:bottom w:w="28" w:type="dxa"/>
          <w:right w:w="28" w:type="dxa"/>
        </w:tblCellMar>
      </w:tblPr>
      <w:tblGrid>
        <w:gridCol w:w="607"/>
        <w:gridCol w:w="535"/>
        <w:gridCol w:w="537"/>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72" w:type="dxa"/>
        <w:jc w:val="left"/>
        <w:tblInd w:w="0" w:type="dxa"/>
        <w:tblLayout w:type="fixed"/>
        <w:tblCellMar>
          <w:top w:w="28" w:type="dxa"/>
          <w:left w:w="28" w:type="dxa"/>
          <w:bottom w:w="28" w:type="dxa"/>
          <w:right w:w="28" w:type="dxa"/>
        </w:tblCellMar>
      </w:tblPr>
      <w:tblGrid>
        <w:gridCol w:w="607"/>
        <w:gridCol w:w="535"/>
        <w:gridCol w:w="537"/>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18"/>
        <w:gridCol w:w="218"/>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September 30, 2023 decreased by $0.8 million, or 1%, compared to the three months ended September 30, 2022. Revenue for the nine months ended September 30, 2023 increased by $0.3 million, or 0%. Our revenues were primarily driven by increased impressions processed on our platform, launches of new offerings, and growth in customer relationships. Our business continues to be impacted by the macro environment and uncertainty in the markets.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served over 1,750 publishers and app developers worldwide on our platform, which represented over 69,000 domains and 26,000 apps in total, compared to approximately 1,600 publishers and app developers worldwide, which represented approximately 79,000 domains and 20,000 apps in total as of September 30, 2022. For purposes of our publisher count, we aggregate multiple business accounts from separate divisions, segments or subsidiaries into a single “master” publisher based on our assessment of the related nature of the group.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may be affected by macroeconomic conditions for the remainder of 2023, and the magnitude of this impact on our future revenues is difficult to predict.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$4.5 million for the three months ended September 30, 2023 compared to the three months ended September 30, 2022, primarily due to a $1.8 million increase in depreciation of data center equipment and amortization of internal-use software, a $1.7 million increase in data centers costs, a $0.1 million increase in support and maintenance costs, and a $0.5 million increase in personnel costs as headcount increased. Overall, our cost of revenue per impression processed for the three months ended September 30, 2023 decreased by approximately 9% compared to the three months ended September 30, 2022.</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$16.5 million for the nine months ended September 30, 2023 compared to the nine months ended September 30, 2022 primarily due to a $7.5 million increase in depreciation of data center equipment and amortization of internal use software, a $5.7 million increase in data center costs, a $0.9 million increase in support and maintenance costs, a $1.1 million increase in amortization of acquired intangible assets, and a $1.3 million increase in personnel costs as headcount increased.</w:t>
      </w:r>
    </w:p>
    <w:p>
      <w:pPr>
        <w:pStyle w:val="TextBody"/>
        <w:bidi w:val="0"/>
        <w:spacing w:lineRule="auto" w:line="288" w:before="120" w:after="283"/>
        <w:ind w:left="0" w:right="0" w:firstLine="3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margin of 59% for the three months ended September 30, 2023 decreased compared to 67% for the three months ended September 30, 2022, and our gross margin of 59% for the nine months ended September 30, 2023 decreased compared to 68% for the nine months ended September 30, 2022 primarily due to infrastructure investments from capacity expansion and engineering projects.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revenue to be higher in 2023 compared to 2022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Technology and Development</w:t>
      </w:r>
    </w:p>
    <w:tbl>
      <w:tblPr>
        <w:tblW w:w="7752" w:type="dxa"/>
        <w:jc w:val="left"/>
        <w:tblInd w:w="0" w:type="dxa"/>
        <w:tblLayout w:type="fixed"/>
        <w:tblCellMar>
          <w:top w:w="28" w:type="dxa"/>
          <w:left w:w="28" w:type="dxa"/>
          <w:bottom w:w="28" w:type="dxa"/>
          <w:right w:w="28" w:type="dxa"/>
        </w:tblCellMar>
      </w:tblPr>
      <w:tblGrid>
        <w:gridCol w:w="930"/>
        <w:gridCol w:w="815"/>
        <w:gridCol w:w="819"/>
        <w:gridCol w:w="224"/>
        <w:gridCol w:w="655"/>
        <w:gridCol w:w="288"/>
        <w:gridCol w:w="116"/>
        <w:gridCol w:w="116"/>
        <w:gridCol w:w="116"/>
        <w:gridCol w:w="224"/>
        <w:gridCol w:w="655"/>
        <w:gridCol w:w="288"/>
        <w:gridCol w:w="109"/>
        <w:gridCol w:w="109"/>
        <w:gridCol w:w="109"/>
        <w:gridCol w:w="211"/>
        <w:gridCol w:w="616"/>
        <w:gridCol w:w="109"/>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03" w:type="dxa"/>
        <w:jc w:val="left"/>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three months ended September 30, 2023 was primarily due to an increase of $2.7 million in personnel costs as headcount increased, and a $0.2 million increase in facilities costs, partially offset by an increase of $1.5 million related to the capitalization of internal-use software.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nine months ended September 30, 2023 was primarily due to an increase of $9.2 million in personnel costs as headcount increased, and a $0.9 million increase in facilities costs, partially offset by an increase of $5.6 million related to the capitalization of internal-use software.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continue to increase in 2023 compared to 2022 in absolute dollars, primarily due to investment in technological innovation and additional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6993" w:type="dxa"/>
        <w:jc w:val="left"/>
        <w:tblInd w:w="0" w:type="dxa"/>
        <w:tblLayout w:type="fixed"/>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three months ended September 30, 2023 increased primarily due to a $3.0 million increase in personnel costs.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nine months ended September 30, 2023 increased primarily due to a $8.0 million increase in personnel costs, a $2.1 million increase in travel expenses, and a $0.8 million increase in amortization of acquired intangible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2023 compared to 2022 in absolute dollars primarily due to additional headcount investment and marketing programs.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473"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541"/>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48"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for the three months ended September 30, 2023 primarily due to a $1.0 million decrease in professional services composed primarily of acquisition expenses, and a $0.4 million decrease in facilities costs, offset by a $1.3 million increase in personnel costs including higher stock-based compensation costs.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nine months ended September 30, 2023 primarily due to a $5.7 million increase in provision for bad debt relating to a DSP buyer of our platform that filed for Chapter 11 bankruptcy, and a $4.9 million increase in personnel costs including higher stock-based compensation costs.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2023 compared to 2022 in absolute dollars primarily due to higher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6643" w:type="dxa"/>
        <w:jc w:val="left"/>
        <w:tblInd w:w="0" w:type="dxa"/>
        <w:tblLayout w:type="fixed"/>
        <w:tblCellMar>
          <w:top w:w="28" w:type="dxa"/>
          <w:left w:w="28" w:type="dxa"/>
          <w:bottom w:w="28" w:type="dxa"/>
          <w:right w:w="28" w:type="dxa"/>
        </w:tblCellMar>
      </w:tblPr>
      <w:tblGrid>
        <w:gridCol w:w="494"/>
        <w:gridCol w:w="433"/>
        <w:gridCol w:w="437"/>
        <w:gridCol w:w="276"/>
        <w:gridCol w:w="807"/>
        <w:gridCol w:w="142"/>
        <w:gridCol w:w="142"/>
        <w:gridCol w:w="142"/>
        <w:gridCol w:w="142"/>
        <w:gridCol w:w="276"/>
        <w:gridCol w:w="610"/>
        <w:gridCol w:w="142"/>
        <w:gridCol w:w="109"/>
        <w:gridCol w:w="109"/>
        <w:gridCol w:w="109"/>
        <w:gridCol w:w="211"/>
        <w:gridCol w:w="616"/>
        <w:gridCol w:w="109"/>
        <w:gridCol w:w="109"/>
        <w:gridCol w:w="109"/>
        <w:gridCol w:w="109"/>
        <w:gridCol w:w="233"/>
        <w:gridCol w:w="233"/>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556" w:type="dxa"/>
        <w:jc w:val="left"/>
        <w:tblInd w:w="0" w:type="dxa"/>
        <w:tblLayout w:type="fixed"/>
        <w:tblCellMar>
          <w:top w:w="28" w:type="dxa"/>
          <w:left w:w="28" w:type="dxa"/>
          <w:bottom w:w="28" w:type="dxa"/>
          <w:right w:w="28" w:type="dxa"/>
        </w:tblCellMar>
      </w:tblPr>
      <w:tblGrid>
        <w:gridCol w:w="494"/>
        <w:gridCol w:w="433"/>
        <w:gridCol w:w="437"/>
        <w:gridCol w:w="249"/>
        <w:gridCol w:w="727"/>
        <w:gridCol w:w="128"/>
        <w:gridCol w:w="128"/>
        <w:gridCol w:w="128"/>
        <w:gridCol w:w="128"/>
        <w:gridCol w:w="249"/>
        <w:gridCol w:w="727"/>
        <w:gridCol w:w="128"/>
        <w:gridCol w:w="109"/>
        <w:gridCol w:w="109"/>
        <w:gridCol w:w="109"/>
        <w:gridCol w:w="211"/>
        <w:gridCol w:w="616"/>
        <w:gridCol w:w="109"/>
        <w:gridCol w:w="109"/>
        <w:gridCol w:w="109"/>
        <w:gridCol w:w="109"/>
        <w:gridCol w:w="233"/>
        <w:gridCol w:w="233"/>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for the three and nine months ended September 30, 2023 compared to the prior year period due to the increase in interest rates.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738" w:type="dxa"/>
        <w:jc w:val="left"/>
        <w:tblInd w:w="0" w:type="dxa"/>
        <w:tblLayout w:type="fixed"/>
        <w:tblCellMar>
          <w:top w:w="28" w:type="dxa"/>
          <w:left w:w="28" w:type="dxa"/>
          <w:bottom w:w="28" w:type="dxa"/>
          <w:right w:w="28" w:type="dxa"/>
        </w:tblCellMar>
      </w:tblPr>
      <w:tblGrid>
        <w:gridCol w:w="863"/>
        <w:gridCol w:w="760"/>
        <w:gridCol w:w="762"/>
        <w:gridCol w:w="266"/>
        <w:gridCol w:w="589"/>
        <w:gridCol w:w="137"/>
        <w:gridCol w:w="137"/>
        <w:gridCol w:w="137"/>
        <w:gridCol w:w="137"/>
        <w:gridCol w:w="266"/>
        <w:gridCol w:w="873"/>
        <w:gridCol w:w="137"/>
        <w:gridCol w:w="109"/>
        <w:gridCol w:w="109"/>
        <w:gridCol w:w="109"/>
        <w:gridCol w:w="211"/>
        <w:gridCol w:w="616"/>
        <w:gridCol w:w="109"/>
        <w:gridCol w:w="109"/>
        <w:gridCol w:w="109"/>
        <w:gridCol w:w="109"/>
        <w:gridCol w:w="269"/>
        <w:gridCol w:w="271"/>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546" w:type="dxa"/>
        <w:jc w:val="left"/>
        <w:tblInd w:w="0" w:type="dxa"/>
        <w:tblLayout w:type="fixed"/>
        <w:tblCellMar>
          <w:top w:w="28" w:type="dxa"/>
          <w:left w:w="28" w:type="dxa"/>
          <w:bottom w:w="28" w:type="dxa"/>
          <w:right w:w="28" w:type="dxa"/>
        </w:tblCellMar>
      </w:tblPr>
      <w:tblGrid>
        <w:gridCol w:w="863"/>
        <w:gridCol w:w="760"/>
        <w:gridCol w:w="762"/>
        <w:gridCol w:w="249"/>
        <w:gridCol w:w="638"/>
        <w:gridCol w:w="128"/>
        <w:gridCol w:w="128"/>
        <w:gridCol w:w="128"/>
        <w:gridCol w:w="128"/>
        <w:gridCol w:w="249"/>
        <w:gridCol w:w="815"/>
        <w:gridCol w:w="128"/>
        <w:gridCol w:w="109"/>
        <w:gridCol w:w="109"/>
        <w:gridCol w:w="109"/>
        <w:gridCol w:w="211"/>
        <w:gridCol w:w="616"/>
        <w:gridCol w:w="109"/>
        <w:gridCol w:w="109"/>
        <w:gridCol w:w="109"/>
        <w:gridCol w:w="109"/>
        <w:gridCol w:w="218"/>
        <w:gridCol w:w="218"/>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for the three and nine months ended September 30, 2023 compared to the prior year period as a result of impairment related to our equity investment and due to currency fluctuations.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tbl>
      <w:tblPr>
        <w:tblW w:w="7604" w:type="dxa"/>
        <w:jc w:val="left"/>
        <w:tblInd w:w="0" w:type="dxa"/>
        <w:tblLayout w:type="fixed"/>
        <w:tblCellMar>
          <w:top w:w="28" w:type="dxa"/>
          <w:left w:w="28" w:type="dxa"/>
          <w:bottom w:w="28" w:type="dxa"/>
          <w:right w:w="28" w:type="dxa"/>
        </w:tblCellMar>
      </w:tblPr>
      <w:tblGrid>
        <w:gridCol w:w="825"/>
        <w:gridCol w:w="726"/>
        <w:gridCol w:w="729"/>
        <w:gridCol w:w="276"/>
        <w:gridCol w:w="610"/>
        <w:gridCol w:w="142"/>
        <w:gridCol w:w="142"/>
        <w:gridCol w:w="142"/>
        <w:gridCol w:w="142"/>
        <w:gridCol w:w="276"/>
        <w:gridCol w:w="807"/>
        <w:gridCol w:w="142"/>
        <w:gridCol w:w="109"/>
        <w:gridCol w:w="109"/>
        <w:gridCol w:w="109"/>
        <w:gridCol w:w="211"/>
        <w:gridCol w:w="691"/>
        <w:gridCol w:w="109"/>
        <w:gridCol w:w="109"/>
        <w:gridCol w:w="109"/>
        <w:gridCol w:w="109"/>
        <w:gridCol w:w="218"/>
        <w:gridCol w:w="218"/>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775" w:type="dxa"/>
        <w:jc w:val="left"/>
        <w:tblInd w:w="0" w:type="dxa"/>
        <w:tblLayout w:type="fixed"/>
        <w:tblCellMar>
          <w:top w:w="28" w:type="dxa"/>
          <w:left w:w="28" w:type="dxa"/>
          <w:bottom w:w="28" w:type="dxa"/>
          <w:right w:w="28" w:type="dxa"/>
        </w:tblCellMar>
      </w:tblPr>
      <w:tblGrid>
        <w:gridCol w:w="1243"/>
        <w:gridCol w:w="1094"/>
        <w:gridCol w:w="1098"/>
        <w:gridCol w:w="240"/>
        <w:gridCol w:w="788"/>
        <w:gridCol w:w="124"/>
        <w:gridCol w:w="124"/>
        <w:gridCol w:w="124"/>
        <w:gridCol w:w="124"/>
        <w:gridCol w:w="240"/>
        <w:gridCol w:w="703"/>
        <w:gridCol w:w="124"/>
        <w:gridCol w:w="109"/>
        <w:gridCol w:w="109"/>
        <w:gridCol w:w="109"/>
        <w:gridCol w:w="211"/>
        <w:gridCol w:w="691"/>
        <w:gridCol w:w="109"/>
        <w:gridCol w:w="109"/>
        <w:gridCol w:w="109"/>
        <w:gridCol w:w="109"/>
        <w:gridCol w:w="269"/>
        <w:gridCol w:w="271"/>
        <w:gridCol w:w="54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effective tax rate for the three months ended September 30, 2023 of 6% and the federal statutory income tax rate of 21% was related to the tax benefit from foreign-derived intangible income (FDII), the 2022 federal tax provision to return adjustments and research tax credit, partially offset by an increase in nondeductible stock-based compensation and Section 162(m) limitation on the tax deductibility of officers’ compensation. The effective income tax rate was 30% for the three months ended September 30, 2022 due to an increase in nondeductible stock-based compensation, Section 162(m) limitation, state taxes, global intangible low-taxed income (“GILTI”) inclusion, and a higher tax rate in certain foreign countries where the Company operates, partially offset by tax deductions for equity awards, foreign derived intangible income (“FDII”) deduction, foreign tax credits, and federal and state research credits.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effective tax rate for the nine months ended September 30, 2023 of 22% and the federal statutory income tax rate of 21% was related foreign-derived intangible income (FDII), research tax credit, and 2022 federal tax provision to return adjustments, partially offset by an increase in tax expense primarily related to nondeductible stock-based compensation, and Section 162(m) limitation on the tax deductibility of officers’ compensation. The effective income tax rate was 23% for the nine months ended September 30, 2022 was primarily due to nondeductible stock-based compensation and executive compensation, a higher tax rate in certain foreign countries where the Company operates, partially offset by tax deductions for equity awards, foreign derived intangible income deduction, foreign tax credits, and federal and state research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and capital expenditures primarily through utilization of cash generated from operations as well as sales of equity securities. As of September 30, 2023, we had cash, cash equivalents, and marketable securities of $171.4 million and net working capital, consisting of current assets less current liabilities, of $170.5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uses of cash are funding our operations and other working capital requirements.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As of September 30, 2023, our material cash requirements included the contractual commitments set forth under “Contractual Obligations and Future Cash Requirements.”</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the 2023 Repurchase Program. During the nine months ended September 30, 2023, we repurchased 2,647,958 shares of Class A common stock under the 2023 Repurchase Program for an aggregate purchase price of $39.1 million. As of September 30, 2023, $35.9 million remained available for future share repurchases under the 2023 Repurchase Program. The U.S. Inflation Reduction Act of 2022 was enacted on August 16, 2022 and requires a one percent excise tax on certain share repurchases in excess of shares issued for employee compensation made after December 31, 2022. For purposes of calculating the excise tax, repurchasing corporations are permitted to net the fair market value of certain stock issuances against the fair market value of stock repurchases during the same taxable year, with certain exceptions. We do not expect this provision to have a material effect on our consolidated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Senior Secured Credit Facilities Credit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we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 In connection with the entry into the Credit Agreement, our previous loan and security agreement, as amended, was terminated.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Our obligations under the Revolving Credit Facility and the letter of credit sub-facility (described in Note 9 to our condensed consolidated financial statements included elsewhere in this Quarterly Report on Form 10-Q) with SVB are secured by substantially all our assets excluding our intellectual property.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our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Credit Agreement contains customary events of default. Upon the occurrence and during the continuance of an event of default, the Lenders may declare the outstanding advances and all other obligations under the Credit Agreement immediately due and payable. We may use amounts borrowed under the Credit Agreement for general corporate purposes or working capital financing. We may borrow additional amounts under the Credit Agreement from time to time as opportunities and needs arise. As of September 30, 2023, the Company has not drawn down on the credit facility.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955" w:type="dxa"/>
        <w:jc w:val="left"/>
        <w:tblInd w:w="0" w:type="dxa"/>
        <w:tblLayout w:type="fixed"/>
        <w:tblCellMar>
          <w:top w:w="28" w:type="dxa"/>
          <w:left w:w="28" w:type="dxa"/>
          <w:bottom w:w="28" w:type="dxa"/>
          <w:right w:w="28" w:type="dxa"/>
        </w:tblCellMar>
      </w:tblPr>
      <w:tblGrid>
        <w:gridCol w:w="1563"/>
        <w:gridCol w:w="1377"/>
        <w:gridCol w:w="1380"/>
        <w:gridCol w:w="220"/>
        <w:gridCol w:w="752"/>
        <w:gridCol w:w="113"/>
        <w:gridCol w:w="113"/>
        <w:gridCol w:w="113"/>
        <w:gridCol w:w="113"/>
        <w:gridCol w:w="220"/>
        <w:gridCol w:w="831"/>
        <w:gridCol w:w="160"/>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provided by operating activities of $52.4 million resulted primarily from adjustments for non-cash expenses of $48.3 million, including $33.7 million for depreciation and amortization and $21.5 million for stock-based compensation, provision for bad debt of $5.7 million relating to a DSP buyer of our platform that filed for Chapter 11 bankruptcy, a decrease in accounts receivable of $8.4 million, offset by a net loss of $9.8 million, and an increase in accrued liabilities of $3.2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provided by operating activities of $67.9 million resulted primarily from net income of $15.9 million, adjustments for non-cash expenses of $45.0 million, including $23.6 million for depreciation and amortization and $15.2 million for stock-based compensation, lease expense of $4.3 million, and a decrease in accounts receivable of $12.6 million, partially offset by a decrease in accrued liabilities of $4.8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we used $7.7 million in investing activities, consisting of $5.4 million in purchases of property and equipment (primarily data center infrastructure), and $13.7 million of investments in capitalized internal-use software, a net increase in investments of marketable securities of $7.4 million, offset by an increase from sales of marketable securities prior to maturity of $18.9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we used $101.6 million of cash in investing activities, consisting of $27.0 million in purchases of property and equipment (primarily data center infrastructure), $9.6 million of investments in capitalized internal-use software, $28.1 million for the Martin acquisition, and a net increase in investments of marketable securities of $36.9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of $39.4 million was primarily due to purchases of treasury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provided by financing activities of $3.4 million was primarily due to proceeds from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Future Cash Requirements </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contractual obligations disclosed in our Annual Report on Form 10-K for the fiscal year ended December 31, 2022.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$4.5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Besides the update to our allowance for credit losses as included within "Note 2 – Basis of Presentation and Summary of Significant Accounting Policies" to the condensed consolidated financial statements in this report, there have been no significant changes in our critical accounting policies and estimates from those disclosed in our audited consolidated financial statements and notes thereto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These risks primarily include:</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$97.7 million and marketable securities of $73.6 million as of September 30, 2023, which consisted of bank deposits, money market accounts, time deposits,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September 30, 2023.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Currency Exchange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$1.4 million in our operating loss for the nine months ended September 30, 2023. A hypothetical 10% change in the U.S. Dollar to British Pound exchange rate could result in a change of $1.3 million in our operating loss for the nine months ended September 30, 2023.</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September 30, 2023.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September 30, 2023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“Commitments and Contingencies,”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our business is subject to a number of risks and uncertainties, including those risks discussed at length below. These risks include, among others, the following, which we consider our most material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revenue and results of operations are highly dependent on the overall demand for advertising.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must scale our platform infrastructure to support anticipated growth and transaction volume. If we fail to do so, we may limit our ability to process ad impressions, and we may lose revenue.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recently completed acquisition of ConsultMates, Inc. (dba “Martin”) presents risks and we must successfully integrate the Martin business to realize the strategic and financial goals that we currently anticipate.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publishers, buyers, and data providers do not obtain necessary and requisite consents from consumers for us to process their personal data, we could be subject to fines and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digital advertising industry is intensely competitive, and if we do not effectively compete against current and future competitors, our business, results of operations, and financial condition could be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pressure may reduce our revenue per impression.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 fluctuations or market changes in digital advertising activity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ad formats and digital device types develop in ways that prevent advertisements from being delivered to consumers, our business, results of operations, and financial condition generally, will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success depends on our ability to retain key members of our management team, and on our ability to hire, train, retain, and motivate new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subject to payment-related risks if demand side platform (“DSP”) buyers dispute or do not pay their invoices, and any decreases in payments or in our overall take rate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international operations subject us to additional costs and risks, and our continued international expansion may not be successful.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depend on third-party data centers, the disruption of which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software platform could be susceptible to errors, defects, or unintended performance problems that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continued business success depends upon our ability to offer high-quality inventory with appropriate viewability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maintain effective internal controls, our ability to produce accurate financial statements and other disclosures on a timely basis could be impaired.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charter documents and Delaware law could discourage takeover attempts and other corporate governance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Results of Operations and Growth</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revenue and results of operations are highly dependent on the overall demand for advertising.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More recently, macroeconomic factors including inflation, rising interest rates and softening demand in certain verticals have caused some advertisers to reduce their advertising budgets. Such macroeconomic factors, as well as broader economic downturns, recessions, inflation, further changes in interest rates or foreign exchange rates or any supply chain disruptions, changes in the tax treatment of advertising expenses, instability in the global banking system or general uncertainty, in North America, Europe, and Asia, where we do most of our business, could adversely affect our business, results of operations, and financial condition. In addition, the conflicts in Ukraine and Israel could cause unpredictable economic effects, including potentially softening general consumer demand. Reductions in overall advertising spending as a result of these factors could make it difficult to predict our revenue and could adversely affect our business, results of operations, and financial condition.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relatively small number of premium publishers have historically accounted for a significant portion of the ad impressions sold on our platform, as well as a significant portion of our revenue from publishers, including a relatively small number of channel partners.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demand and pricing for ad impressions sold on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access to valuable ad impressions from publishers;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maintaining, and expanding relationships with publishers, DSPs, agencies, and advertisers;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seasonality in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innovating and developing new solutions that are adopted by and meet the needs of publishers, DSPs, agencies, and advertisers;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competing against companies with a larger customer base or greater financial or technical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structure of the buying and selling of ad impressions;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pricing policies of publishers and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responding to evolving industry standards and government regulations that impact our business, particularly in the areas of data protection and consumer privacy;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demand due to changes in the macroeconomic environment, including as a result of an economic downturn, recession, inflation, changes in interest rates or foreign exchange rates, disruptions to supply chains, instability in the global banking system or otherwise;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further expanding our business internationally;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recruiting, integrating, and retaining qualified and motivated employees, particularly engineers.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 factors above may result in significant fluctuations in our results of operations. You should not rely on our past results as an indicator of our future performance.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make the right investment decisions in our platform, or if we fail to innovate and develop new solutions that are adopted by publishers, we may not attract and retain publishers, which could adversely affect our business, results of operations, and financial condition.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For example, we recently launched two new products, Activate and Convert, which may not be widely adopted or result in incremental value.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must scale our platform infrastructure to support anticipated growth and transaction volume. If we fail to do so, we may limit our ability to process ad impressions, and we may lose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acquisition of ConsultMates, Inc. (dba “Martin”) presents risks and we must successfully integrate the Martin business to realize the strategic and financial goals that we currently anticipate.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we acquired Martin to further augment our SPO capabilities. We have limited experience with such acquisitions, and risks we may face in connection with the integration of the Martin business into our business and operations include:</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we may not realize the revenue or other economic benefits and synergies we expect to receive from the transaction;</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we may have difficulties integrating and managing Martin’s SPO products and technology, as well as business relationships, or retaining key personnel from Martin;</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the acquisition may not further our business strategy as we expected or we may otherwise not realize our expected return on investment, which could adversely affect our business or operating results;</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 xml:space="preserve">Martin’s existing privacy and information security systems and related infrastructure may require additional investments of time and resources in order to scale and, as necessary, to integrate into our platform or to be developed to appropriate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Martin’s management and compliance functions and processes may require significant investments of time and resources in order to support its current and anticipated future product offerings, to scale and, as necessary, to integrate into our platform; and</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Our operating results or financial condition may be adversely impacted by (i) claims or liabilities (including tax liabilities) related to Martin’s business and the Martin acquisition including, among others, claims from U.S. or international regulatory or other governmental agencies, terminated employees, current or former customers or business partners, or other third parties; (ii) pre-existing contractual relationships of Martin that we would not have otherwise entered into, the termination or modification of which may be costly or disruptive to our business; (iii) unfavorable accounting treatment as a result of Martin’s practices; and (iv) intellectual property claims or disputes against Martin.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Data Collection and the Use of Collected Data</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and conflicting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publishers, buyers, and data providers do not obtain necessary and requisite consents from consumers for us to process their personal data, we could be subject to fines and liability.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the Advertising Industry and Competition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digital advertising industry is intensely competitive, and if we do not effectively compete against current and future competitors, our business, results of operations, and financial condition could be adversely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 pressure may reduce our revenue per impression.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 fluctuations or market changes in digital advertising activity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inflation, changes in foreign exchange rates or interest rates,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ad formats and digital device types develop in ways that prevent advertisements from being delivered to consumers, our business, results of operations, and financial condition may be adversely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success depends on our ability to retain key members of our management team, and on our ability to hire, train, retain, and motivate new employees.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if demand side platform (“DSP”) buyers dispute or do not pay their invoices, and any decreases in payments or in our overall take rate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changes in foreign exchange rates or interest rates, disruption to supply chains, and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In addition, in June 2023, one of our DSP buyers filed for Chapter 11 bankruptcy, which led us to record bad debt expense of $5.7 million. While our contracts generally do not contain such exposure, there are certain agreements under which we may be responsible for the whole amount of contracted spending, whether or not ultimately paid by the buyer.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subject us to additional costs and risks, and our continued international expansion may not be successful.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and costs associated with maintaining effective controls at foreign locations;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adapting our platform and solutions to non-U.S. publishers’ preferences and customs;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regulatory and other delays and difficulties in setting up foreign operations, including staffing difficulties;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anti-bribery laws and regulations, export and import control and economic sanctions, laws and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foreign data privacy 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and political instability in some countries, including as a result of the conflicts in Ukraine and Israel;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the laws of numerous taxing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difficulty hiring and retaining engineering and management resources due to intense competition for such resources and resulting wage inflation;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heightened exposure to changes in economic, health, security, and political conditions in India;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fluctuations in currency exchange rates and tax compliance in India.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third-party data centers, the disruption of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software platform could be susceptible to errors, defects, or unintended performance problems that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continued business success depends upon our ability to offer high-quality inventory with appropriate viewability capabilities.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in integrating the operations, technologies, product or service offerings, administrative systems, and personnel of acquired businesses;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ineffectiveness or incompatibility of acquired technologies or solutions;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potential loss of key employees of the acquired business;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inability to maintain key business relationships and reputation of the acquired business;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litigation arising from the acquisition or the activities of the acquired business;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failure to generate the expected financial results related to an acquisition in a timely manner or at all;</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failure to accurately forecast the impact of an acquisition; and</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implementation or remediation of effective controls, procedures, and policies for acquired businesses.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our board of directors authorized and approved the 2023 Repurchase Program pursuant to which we may repurchase up to $75.0 million in aggregate of shares of our Class A common stock, with the authorization to expire on December 31, 2024. Although our board of directors has authorized the 2023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wars in Ukraine and Israel and the lingering effects of the COVID-19 pandemic. The 2023 Repurchase Program may be modified, suspended, or terminated at any time, and we cannot guarantee that the 2023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 of catastrophic events such as pandemics, earthquakes, flooding, fire, and power outages, and to interruption by man-made problems such as acts of war and terrorism.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use artificial intelligence in our business, and challenges with properly managing its use could result in reputational harm, competitive harm, and legal liability, and adversely affect our results of operations.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artificial intelligence (“AI”) solutions into our specialized cloud software, including audience solutions, and these applications may become more important in our operations over time.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sensitive data of customers analyzed within such applications. Any such cybersecurity incidents related to our use of AI applications for analysis of sensitive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 various uses, will require significant resources to develop, test and maintain our intelligence cloud platform, offerings, services, and features to help us implement AI ethically in order to minimize unintended, harmful impact.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Regulations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 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On January 1, 2023, a new privacy law, the California Privacy Rights Act (the “CPRA”) amended and expanded the CCPA. The CPRA generally requires covered businesses to, among other things, provide new disclosures to California consumers, businesses and employees and affords California consumers, businesses and employees, new privacy rights such as the ability to opt-out of certain sales of personal information and expanded rights to access and require deletion of their personal information, opt-out of certain personal information sharing, and receive detailed information about how their personal information is collected, used and shared. The CPRA provides for civil penalties for violations, as well as a private right of action for security breaches that may increase security breach litigation.</w:t>
      </w:r>
      <w:r>
        <w:rPr>
          <w:color w:val="000000"/>
        </w:rPr>
        <w:t xml:space="preserve"> </w:t>
      </w:r>
      <w:r>
        <w:rPr>
          <w:rFonts w:ascii="Times New Roman;sans-serif" w:hAnsi="Times New Roman;sans-serif"/>
          <w:b w:val="false"/>
          <w:color w:val="000000"/>
          <w:sz w:val="20"/>
        </w:rPr>
        <w:t>Potential uncertainty surrounding CPRA may increase our compliance costs and potential liability, particularly in the event of a data breach, and could have a material adverse effect on our business, including how we use personal information, our financial condition, the results of our operations or prospects.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yet fully predict the impact of the CCPA and CPRA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and CPRA have encouraged a number of proposals for new federal and state privacy legislation. As of October 2023, at least eleven additional states have recently passed personal information laws and at least seven additional states have active, pending privacy bills.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yet fully predict the impact of such state laws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 including Brazil, Thailand, and Japan.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maintain, transmit and store data about consumers, employees, partners and others, including personally identifiable information, as well as other confidential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might not anticipate or prevent all types of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may increase over time as the complexity and number of technical systems and applications we use also increases.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Breaches of our security measures or those of our third-party service providers or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In the future, we may experience social engineering, phishing, malware and similar attacks and threats of denial-of-service attacks and such attacks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information, resulting in the perception that our systems are insecure.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uncertainty and industry unpreparedness for new regulations may mean substantial disruption and inefficiency, demand constraints, and reduced inventory supply and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Biden administration negotiated new privacy shield terms with EU regulators, and signed an Executive Order in October 2022 directing the steps the United States will take to implement its commitments to the EU/US data privacy framework. The new proposed Privacy Shield terms are subject to further review by the European Commission and EC and member states. Max Schrems, who brought the lawsuit which resulted in the invalidation of Privacy Shield in 2020, has indicated that he will legally challenge these newly proposed Privacy Shield terms. 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 We are currently tracking recent developments regarding the European Commission’s July 10, 2023 adoption of an adequacy decision for the EU-US Data Privacy Framework, a cooperative effort between U.S. and European officials to overcome the security issues raised by the EU-US Privacy Shield regarding personal transfers from the EU to the United States. While we don’t anticipate any immediate changes in our current operations, we will observe how legal challenges may shape this framework and how it may lead to opportunities that will facilitate cross-border personal data flows between the EU and the United States and potentially result in lower costs to conduct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or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industry self-regulation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economic sanctions requirements and export and import controls that could impair our ability to compete in international markets or subject us to civil or criminal liability.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licenses to use the intellectual property rights of third parties to conduct our business.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controls, our ability to produce accurate financial statements and other disclosures on a timely basis could be impaired.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credit agreement contains operating and financial covenants that may restrict our business and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we entered into a Senior Secured Credit Facilities Credit Agreement (the “Credit Agreement”) with Silicon Valley Bank (“SVB”) and the several lenders parties thereto. As of September 30, 2023, we had no outstanding borrowings under the Credit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on March 10, 2023, SVB was closed by the California Department of Financial Protection and Innovation and subsequently appointed the Federal Deposit Insurance Corporation (“FDIC”) as receiver. Similarly, on March 12, 2023, Signature Bank and Silvergate Capital Corp. were each swept into receivership. While the FDIC has taken steps to make whole all depositors of SVB, there is no assurance that similar guarantees will be made in the event of further bank closures and continued instability in the global banking system. If other banks and financial institutions enter receivership or become insolvent in the future in response to financial conditions affecting the banking system and financial markets, then our ability to obtain financing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tax liabilities may be greater than anticipated.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(benefit from)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Tax changes could affect our effective tax rate and future profitability.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taxes in the United States, and we are subject to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 For example, the United States tax legislation commonly referred to as the Tax Cuts and Jobs Act of 2017 (the “Tax Act”) (as modified by the Coronavirus Aid, Relief, Economic Security Act, the Families First Coronavirus Response Act and the American Rescue Plan Act), significantly reformed the Internal Revenue Code of 1986, as amended, reducing U.S. federal tax rates, making sweeping changes to rules governing international business operations, and imposing significant additional limitations on tax benefits, including the deductibility of interest and the capitalization of research and development expenses. In addition, the Inflation Reduction Act of 2022 (the “Inflation Reduction Act”) imposes a 15% corporate alternative minimum tax and 1% excise tax on repurchases of corporate stock. We are currently evaluating the various provisions of the Inflation Reduction Act but do not anticipate it will have a material effect on the condensed consolidated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Tax proposals and enactments worldwide include changes to the existing framework in respect of income taxes, limitations on the ability of taxpayers to claim and utilize tax benefits, as well as new types of non-income taxes (such as taxes based on a percentage of revenue or taxes applicable to digital services). Due to the large and expanding scale of our international business activities, these types of changes to the taxation of our activities could impact the tax treatment of our foreign earnings, increase our worldwide effective tax rate, increase the amount of taxes imposed on our business, and harm our financial position. Such changes may also apply retroactively to our historical operations and result in taxes greater than the amounts estimated and recorded in our condensed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the shares of our Class A common stock has been and may continue to be volatile and could subject us to litigation.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market price and trading volume of technology companies in general and of companies in the digital advertising industry in particular;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announcements of new solutions or technologies, commercial relationships, acquisitions, or other events by us or our competitors;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public’s reaction to our press releases, other public announcements, and filings with the SEC;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fluctuations in the trading volume of our shares or the size of our public float;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sales of large blocks of our common stock;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actual or anticipated changes or fluctuations in our results of operations or financial projections;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actual or future expectations of investors or securities analysts;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governmental or regulatory developments or actions, or litigation involving us, our industry, or both;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and trends or catastrophic events in our domestic and foreign markets.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Our Class B common stock has</w:t>
      </w:r>
      <w:r>
        <w:rPr>
          <w:color w:val="000000"/>
        </w:rPr>
        <w:t> </w:t>
      </w:r>
      <w:r>
        <w:rPr>
          <w:rFonts w:ascii="Times New Roman;sans-serif" w:hAnsi="Times New Roman;sans-serif"/>
          <w:b w:val="false"/>
          <w:color w:val="000000"/>
          <w:sz w:val="20"/>
        </w:rPr>
        <w:t>ten</w:t>
      </w:r>
      <w:r>
        <w:rPr>
          <w:color w:val="000000"/>
        </w:rPr>
        <w:t> </w:t>
      </w:r>
      <w:r>
        <w:rPr>
          <w:rFonts w:ascii="Times New Roman;sans-serif" w:hAnsi="Times New Roman;sans-serif"/>
          <w:b w:val="false"/>
          <w:color w:val="000000"/>
          <w:sz w:val="20"/>
        </w:rPr>
        <w:t>votes per share, and our Class A common stock has one vote per share. Transfers of stock by holders of Class B common stock will generally result in those shares converting to Class A common stock, subject to limited exceptions. As of September 30, 2023, our directors and officers, and their respective affiliates, beneficially owned in the aggregate approximately 64%</w:t>
      </w:r>
      <w:r>
        <w:rPr>
          <w:color w:val="000000"/>
        </w:rPr>
        <w:t> </w:t>
      </w:r>
      <w:r>
        <w:rPr>
          <w:rFonts w:ascii="Times New Roman;sans-serif" w:hAnsi="Times New Roman;sans-serif"/>
          <w:b w:val="false"/>
          <w:color w:val="000000"/>
          <w:sz w:val="20"/>
        </w:rPr>
        <w:t xml:space="preserve">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Sales of substantial amounts of our Class A common stock in the public markets, or the perception that they might occur, could cause the market price of our Class A common stock to decline.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120" w:after="283"/>
        <w:ind w:left="0" w:right="0" w:hanging="360"/>
        <w:jc w:val="both"/>
        <w:rPr/>
      </w:pPr>
      <w:r>
        <w:rPr>
          <w:color w:val="000000"/>
        </w:rPr>
        <w:t xml:space="preserve">• </w:t>
      </w:r>
      <w:r>
        <w:rPr>
          <w:rFonts w:ascii="Times New Roman;sans-serif" w:hAnsi="Times New Roman;sans-serif"/>
          <w:b w:val="false"/>
          <w:color w:val="000000"/>
          <w:sz w:val="20"/>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to issue shares of preferred stock without stockholder approval, which could be used to significantly dilute the ownership of a hostile acquirer;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effective upon such time as the outstanding shares of our Class B common stock represent less than a majority of the combined voting power of our common stock;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our chief executive officer, our lead director, or a majority of our board;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to amend the bylaws, which may allow it to take additional actions to prevent an unsolicited takeover and inhibit the ability of an acquirer;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advance notice procedures with which stockholders must comply to nominate candidates to our board or to propose matters to be acted upon at a stockholders’ meeting;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 OF EQUITY SECURITIES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repurchases of our Class A common stock during the three months ended September 30, 2023:</w:t>
      </w:r>
    </w:p>
    <w:tbl>
      <w:tblPr>
        <w:tblW w:w="10205" w:type="dxa"/>
        <w:jc w:val="left"/>
        <w:tblInd w:w="0" w:type="dxa"/>
        <w:tblLayout w:type="fixed"/>
        <w:tblCellMar>
          <w:top w:w="28" w:type="dxa"/>
          <w:left w:w="28" w:type="dxa"/>
          <w:bottom w:w="28" w:type="dxa"/>
          <w:right w:w="28" w:type="dxa"/>
        </w:tblCellMar>
      </w:tblPr>
      <w:tblGrid>
        <w:gridCol w:w="798"/>
        <w:gridCol w:w="344"/>
        <w:gridCol w:w="348"/>
        <w:gridCol w:w="109"/>
        <w:gridCol w:w="109"/>
        <w:gridCol w:w="109"/>
        <w:gridCol w:w="712"/>
        <w:gridCol w:w="412"/>
        <w:gridCol w:w="413"/>
        <w:gridCol w:w="109"/>
        <w:gridCol w:w="109"/>
        <w:gridCol w:w="109"/>
        <w:gridCol w:w="269"/>
        <w:gridCol w:w="787"/>
        <w:gridCol w:w="139"/>
        <w:gridCol w:w="109"/>
        <w:gridCol w:w="109"/>
        <w:gridCol w:w="109"/>
        <w:gridCol w:w="895"/>
        <w:gridCol w:w="663"/>
        <w:gridCol w:w="665"/>
        <w:gridCol w:w="109"/>
        <w:gridCol w:w="109"/>
        <w:gridCol w:w="109"/>
        <w:gridCol w:w="357"/>
        <w:gridCol w:w="1829"/>
        <w:gridCol w:w="266"/>
      </w:tblGrid>
      <w:tr>
        <w:trPr/>
        <w:tc>
          <w:tcPr>
            <w:tcW w:w="79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Average Price Paid Per Share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Total Number of Shares Purchased as Part of Publicly Announced Plans or Programs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Approximate Dollar Value of Shares that May Yet Be Purchased Under the Plans or Programs</w:t>
            </w:r>
            <w:r>
              <w:rPr>
                <w:rFonts w:ascii="Times New Roman;sans-serif" w:hAnsi="Times New Roman;sans-serif"/>
                <w:b w:val="false"/>
                <w:color w:val="000000"/>
                <w:sz w:val="13"/>
              </w:rPr>
              <w:t>(1)</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193,395 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47,936,271 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585,367 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585,367 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39,868,654 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283,000 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35,895,736 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1,061,762 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1,061,762 </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above do not include the 1% excise tax on stock repurchases enacted by the Inflation Reduction Act of 2022.</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(1)On February 28, 2023, we announced the authorization of a share repurchase program for the repurchase of shares of our Class A common stock in an aggregate amount of up to $75 million through December 31,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333"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Trading Plans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following trading plans were adopted or terminated:</w:t>
      </w:r>
    </w:p>
    <w:tbl>
      <w:tblPr>
        <w:tblW w:w="10205" w:type="dxa"/>
        <w:jc w:val="left"/>
        <w:tblInd w:w="0" w:type="dxa"/>
        <w:tblLayout w:type="fixed"/>
        <w:tblCellMar>
          <w:top w:w="28" w:type="dxa"/>
          <w:left w:w="28" w:type="dxa"/>
          <w:bottom w:w="28" w:type="dxa"/>
          <w:right w:w="28" w:type="dxa"/>
        </w:tblCellMar>
      </w:tblPr>
      <w:tblGrid>
        <w:gridCol w:w="272"/>
        <w:gridCol w:w="238"/>
        <w:gridCol w:w="241"/>
        <w:gridCol w:w="109"/>
        <w:gridCol w:w="109"/>
        <w:gridCol w:w="109"/>
        <w:gridCol w:w="432"/>
        <w:gridCol w:w="432"/>
        <w:gridCol w:w="437"/>
        <w:gridCol w:w="109"/>
        <w:gridCol w:w="109"/>
        <w:gridCol w:w="109"/>
        <w:gridCol w:w="269"/>
        <w:gridCol w:w="269"/>
        <w:gridCol w:w="273"/>
        <w:gridCol w:w="109"/>
        <w:gridCol w:w="109"/>
        <w:gridCol w:w="109"/>
        <w:gridCol w:w="203"/>
        <w:gridCol w:w="203"/>
        <w:gridCol w:w="208"/>
        <w:gridCol w:w="109"/>
        <w:gridCol w:w="109"/>
        <w:gridCol w:w="109"/>
        <w:gridCol w:w="259"/>
        <w:gridCol w:w="259"/>
        <w:gridCol w:w="240"/>
        <w:gridCol w:w="148"/>
        <w:gridCol w:w="148"/>
        <w:gridCol w:w="148"/>
        <w:gridCol w:w="371"/>
        <w:gridCol w:w="371"/>
        <w:gridCol w:w="384"/>
        <w:gridCol w:w="109"/>
        <w:gridCol w:w="109"/>
        <w:gridCol w:w="109"/>
        <w:gridCol w:w="627"/>
        <w:gridCol w:w="331"/>
        <w:gridCol w:w="333"/>
        <w:gridCol w:w="109"/>
        <w:gridCol w:w="109"/>
        <w:gridCol w:w="109"/>
        <w:gridCol w:w="332"/>
        <w:gridCol w:w="332"/>
        <w:gridCol w:w="483"/>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Shares to be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r>
      <w:tr>
        <w:trPr/>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 xml:space="preserve">Amar Goel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Innovation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 xml:space="preserve">X </w:t>
            </w:r>
            <w:r>
              <w:rPr>
                <w:rFonts w:ascii="Times New Roman;sans-serif" w:hAnsi="Times New Roman;sans-serif"/>
                <w:b w:val="false"/>
                <w:color w:val="000000"/>
                <w:sz w:val="13"/>
              </w:rPr>
              <w:t>(1)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7/9/2024</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Intended to satisfy the affirmative defense of Rule 10b5-1(c).</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Not intended to satisfy the affirmative defense of Rule 10b5-1(c).</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 </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Mr. Goel's RSUs without excluding the shares that will be sold to satisfy the tax withholding obligations in addition to shares held in Trust accounts.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606"/>
        <w:gridCol w:w="1449"/>
        <w:gridCol w:w="1353"/>
        <w:gridCol w:w="109"/>
        <w:gridCol w:w="109"/>
        <w:gridCol w:w="109"/>
        <w:gridCol w:w="170"/>
        <w:gridCol w:w="170"/>
        <w:gridCol w:w="171"/>
        <w:gridCol w:w="109"/>
        <w:gridCol w:w="109"/>
        <w:gridCol w:w="109"/>
        <w:gridCol w:w="145"/>
        <w:gridCol w:w="145"/>
        <w:gridCol w:w="146"/>
        <w:gridCol w:w="109"/>
        <w:gridCol w:w="109"/>
        <w:gridCol w:w="109"/>
        <w:gridCol w:w="210"/>
        <w:gridCol w:w="210"/>
        <w:gridCol w:w="211"/>
        <w:gridCol w:w="109"/>
        <w:gridCol w:w="109"/>
        <w:gridCol w:w="109"/>
        <w:gridCol w:w="201"/>
        <w:gridCol w:w="201"/>
        <w:gridCol w:w="202"/>
        <w:gridCol w:w="109"/>
        <w:gridCol w:w="109"/>
        <w:gridCol w:w="109"/>
        <w:gridCol w:w="266"/>
        <w:gridCol w:w="266"/>
        <w:gridCol w:w="383"/>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3exhibit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3exhibit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3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3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16"/>
        </w:rPr>
        <w:t>________________</w:t>
        <w:br/>
        <w:t xml:space="preserve">*      </w:t>
      </w:r>
      <w:r>
        <w:rPr>
          <w:rFonts w:ascii="Times New Roman;sans-serif" w:hAnsi="Times New Roman;sans-serif"/>
          <w:b w:val="false"/>
          <w:color w:val="000000"/>
          <w:sz w:val="18"/>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Indicates a management contract,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479e8aabb4d345aaab4e6a51d4eba54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8, 2023</w:t>
      </w:r>
    </w:p>
    <w:tbl>
      <w:tblPr>
        <w:tblW w:w="3328" w:type="dxa"/>
        <w:jc w:val="right"/>
        <w:tblInd w:w="0" w:type="dxa"/>
        <w:tblLayout w:type="fixed"/>
        <w:tblCellMar>
          <w:top w:w="28" w:type="dxa"/>
          <w:left w:w="28" w:type="dxa"/>
          <w:bottom w:w="28" w:type="dxa"/>
          <w:right w:w="28" w:type="dxa"/>
        </w:tblCellMar>
      </w:tblPr>
      <w:tblGrid>
        <w:gridCol w:w="293"/>
        <w:gridCol w:w="258"/>
        <w:gridCol w:w="258"/>
        <w:gridCol w:w="731"/>
        <w:gridCol w:w="731"/>
        <w:gridCol w:w="105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PUBMATIC, INC.</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2"/>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Rajeev K. Goel,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4708" w:type="dxa"/>
        <w:jc w:val="left"/>
        <w:tblInd w:w="0" w:type="dxa"/>
        <w:tblLayout w:type="fixed"/>
        <w:tblCellMar>
          <w:top w:w="28" w:type="dxa"/>
          <w:left w:w="28" w:type="dxa"/>
          <w:bottom w:w="28" w:type="dxa"/>
          <w:right w:w="28" w:type="dxa"/>
        </w:tblCellMar>
      </w:tblPr>
      <w:tblGrid>
        <w:gridCol w:w="797"/>
        <w:gridCol w:w="700"/>
        <w:gridCol w:w="707"/>
        <w:gridCol w:w="731"/>
        <w:gridCol w:w="731"/>
        <w:gridCol w:w="1042"/>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8, 2023</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2"/>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4724" w:type="dxa"/>
        <w:jc w:val="left"/>
        <w:tblInd w:w="0" w:type="dxa"/>
        <w:tblLayout w:type="fixed"/>
        <w:tblCellMar>
          <w:top w:w="28" w:type="dxa"/>
          <w:left w:w="28" w:type="dxa"/>
          <w:bottom w:w="28" w:type="dxa"/>
          <w:right w:w="28" w:type="dxa"/>
        </w:tblCellMar>
      </w:tblPr>
      <w:tblGrid>
        <w:gridCol w:w="797"/>
        <w:gridCol w:w="700"/>
        <w:gridCol w:w="707"/>
        <w:gridCol w:w="737"/>
        <w:gridCol w:w="737"/>
        <w:gridCol w:w="1046"/>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8, 2023</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September 30, 2023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08" w:type="dxa"/>
        <w:jc w:val="left"/>
        <w:tblInd w:w="0" w:type="dxa"/>
        <w:tblLayout w:type="fixed"/>
        <w:tblCellMar>
          <w:top w:w="28" w:type="dxa"/>
          <w:left w:w="28" w:type="dxa"/>
          <w:bottom w:w="28" w:type="dxa"/>
          <w:right w:w="28" w:type="dxa"/>
        </w:tblCellMar>
      </w:tblPr>
      <w:tblGrid>
        <w:gridCol w:w="797"/>
        <w:gridCol w:w="700"/>
        <w:gridCol w:w="707"/>
        <w:gridCol w:w="731"/>
        <w:gridCol w:w="731"/>
        <w:gridCol w:w="1042"/>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8, 2023</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September 30, 2023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797"/>
        <w:gridCol w:w="700"/>
        <w:gridCol w:w="707"/>
        <w:gridCol w:w="737"/>
        <w:gridCol w:w="737"/>
        <w:gridCol w:w="1046"/>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8, 2023</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40140</Words>
  <Characters>224964</Characters>
  <CharactersWithSpaces>263474</CharactersWithSpaces>
  <Paragraphs>2959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