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120" w:after="283"/>
        <w:jc w:val="left"/>
        <w:rPr/>
      </w:pPr>
      <w:r>
        <w:rPr>
          <w:rFonts w:ascii="Wingdings;sans-serif" w:hAnsi="Wingdings;sans-serif"/>
          <w:b/>
          <w:color w:val="000000"/>
          <w:sz w:val="20"/>
        </w:rPr>
        <w:t>x</w:t>
      </w: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br/>
        <w:t>or</w:t>
      </w:r>
    </w:p>
    <w:p>
      <w:pPr>
        <w:pStyle w:val="TextBody"/>
        <w:bidi w:val="0"/>
        <w:spacing w:lineRule="auto" w:line="288" w:before="120" w:after="283"/>
        <w:jc w:val="left"/>
        <w:rPr/>
      </w:pPr>
      <w:r>
        <w:rPr>
          <w:rFonts w:ascii="Wingdings;sans-serif" w:hAnsi="Wingdings;sans-serif"/>
          <w:b/>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001-39748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PUBMATIC, INC.</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1795"/>
        <w:gridCol w:w="1577"/>
        <w:gridCol w:w="1593"/>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20-5863224</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389" w:type="dxa"/>
            <w:gridSpan w:val="3"/>
            <w:tcBorders/>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38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614" w:type="dxa"/>
        <w:jc w:val="left"/>
        <w:tblInd w:w="0" w:type="dxa"/>
        <w:tblLayout w:type="fixed"/>
        <w:tblCellMar>
          <w:top w:w="28" w:type="dxa"/>
          <w:left w:w="28" w:type="dxa"/>
          <w:bottom w:w="28" w:type="dxa"/>
          <w:right w:w="28" w:type="dxa"/>
        </w:tblCellMar>
      </w:tblPr>
      <w:tblGrid>
        <w:gridCol w:w="1550"/>
        <w:gridCol w:w="1362"/>
        <w:gridCol w:w="1378"/>
        <w:gridCol w:w="499"/>
        <w:gridCol w:w="499"/>
        <w:gridCol w:w="501"/>
        <w:gridCol w:w="1118"/>
        <w:gridCol w:w="1118"/>
        <w:gridCol w:w="158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PUBM</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2, 2023, the registrant had 42,655,221 shares of Class A common stock outstanding and 9,212,791 shares of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tbl>
      <w:tblPr>
        <w:tblW w:w="9779" w:type="dxa"/>
        <w:jc w:val="left"/>
        <w:tblInd w:w="0" w:type="dxa"/>
        <w:tblLayout w:type="fixed"/>
        <w:tblCellMar>
          <w:top w:w="28" w:type="dxa"/>
          <w:left w:w="28" w:type="dxa"/>
          <w:bottom w:w="28" w:type="dxa"/>
          <w:right w:w="28" w:type="dxa"/>
        </w:tblCellMar>
      </w:tblPr>
      <w:tblGrid>
        <w:gridCol w:w="416"/>
        <w:gridCol w:w="365"/>
        <w:gridCol w:w="365"/>
        <w:gridCol w:w="2452"/>
        <w:gridCol w:w="2452"/>
        <w:gridCol w:w="2460"/>
        <w:gridCol w:w="365"/>
        <w:gridCol w:w="365"/>
        <w:gridCol w:w="539"/>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9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79" w:type="dxa"/>
            <w:gridSpan w:val="9"/>
            <w:tcBorders/>
            <w:tcMar>
              <w:top w:w="0" w:type="dxa"/>
              <w:left w:w="0" w:type="dxa"/>
              <w:bottom w:w="0" w:type="dxa"/>
              <w:right w:w="0" w:type="dxa"/>
            </w:tcMar>
            <w:vAlign w:val="center"/>
          </w:tcPr>
          <w:p>
            <w:pPr>
              <w:pStyle w:val="TableContents"/>
              <w:bidi w:val="0"/>
              <w:spacing w:lineRule="auto" w:line="256" w:before="120" w:after="283"/>
              <w:jc w:val="center"/>
              <w:rPr/>
            </w:pPr>
            <w:hyperlink w:anchor="i415ffebaee6f4acda10bc64cc15d5aa6_10">
              <w:r>
                <w:rPr>
                  <w:rStyle w:val="InternetLink"/>
                  <w:rFonts w:ascii="Times New Roman;sans-serif" w:hAnsi="Times New Roman;sans-serif"/>
                  <w:b/>
                  <w:color w:val="0000FF"/>
                  <w:sz w:val="20"/>
                  <w:u w:val="single"/>
                </w:rPr>
                <w:t>PART I - FINANCIAL INFORMATION</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3">
              <w:r>
                <w:rPr>
                  <w:rStyle w:val="InternetLink"/>
                  <w:rFonts w:ascii="Times New Roman;sans-serif" w:hAnsi="Times New Roman;sans-serif"/>
                  <w:b/>
                  <w:color w:val="0000FF"/>
                  <w:sz w:val="20"/>
                  <w:u w:val="single"/>
                </w:rPr>
                <w:t>Condensed Consolidated Financial Statements (Unaudited)</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3">
              <w:r>
                <w:rPr>
                  <w:rStyle w:val="InternetLink"/>
                  <w:rFonts w:ascii="Times New Roman;sans-serif" w:hAnsi="Times New Roman;sans-serif"/>
                  <w:b w:val="false"/>
                  <w:color w:val="0000FF"/>
                  <w:sz w:val="20"/>
                  <w:u w:val="single"/>
                </w:rPr>
                <w:t>1</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6">
              <w:r>
                <w:rPr>
                  <w:rStyle w:val="InternetLink"/>
                  <w:rFonts w:ascii="Times New Roman;sans-serif" w:hAnsi="Times New Roman;sans-serif"/>
                  <w:b w:val="false"/>
                  <w:color w:val="0000FF"/>
                  <w:sz w:val="20"/>
                  <w:u w:val="single"/>
                </w:rPr>
                <w:t>Condensed Consolidated Balance Sheets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6">
              <w:r>
                <w:rPr>
                  <w:rStyle w:val="InternetLink"/>
                  <w:rFonts w:ascii="Times New Roman;sans-serif" w:hAnsi="Times New Roman;sans-serif"/>
                  <w:b w:val="false"/>
                  <w:color w:val="0000FF"/>
                  <w:sz w:val="20"/>
                  <w:u w:val="single"/>
                </w:rPr>
                <w:t>1</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9">
              <w:r>
                <w:rPr>
                  <w:rStyle w:val="InternetLink"/>
                  <w:rFonts w:ascii="Times New Roman;sans-serif" w:hAnsi="Times New Roman;sans-serif"/>
                  <w:b w:val="false"/>
                  <w:color w:val="0000FF"/>
                  <w:sz w:val="20"/>
                  <w:u w:val="single"/>
                </w:rPr>
                <w:t>Condensed Consolidated Statements of Operations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9">
              <w:r>
                <w:rPr>
                  <w:rStyle w:val="InternetLink"/>
                  <w:rFonts w:ascii="Times New Roman;sans-serif" w:hAnsi="Times New Roman;sans-serif"/>
                  <w:b w:val="false"/>
                  <w:color w:val="0000FF"/>
                  <w:sz w:val="20"/>
                  <w:u w:val="single"/>
                </w:rPr>
                <w:t>2</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22">
              <w:r>
                <w:rPr>
                  <w:rStyle w:val="InternetLink"/>
                  <w:rFonts w:ascii="Times New Roman;sans-serif" w:hAnsi="Times New Roman;sans-serif"/>
                  <w:b w:val="false"/>
                  <w:color w:val="0000FF"/>
                  <w:sz w:val="20"/>
                  <w:u w:val="single"/>
                </w:rPr>
                <w:t>Condensed Consolidated Statements of Comprehensive Income (Loss)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22">
              <w:r>
                <w:rPr>
                  <w:rStyle w:val="InternetLink"/>
                  <w:rFonts w:ascii="Times New Roman;sans-serif" w:hAnsi="Times New Roman;sans-serif"/>
                  <w:b w:val="false"/>
                  <w:color w:val="0000FF"/>
                  <w:sz w:val="20"/>
                  <w:u w:val="single"/>
                </w:rPr>
                <w:t>3</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25">
              <w:r>
                <w:rPr>
                  <w:rStyle w:val="InternetLink"/>
                  <w:rFonts w:ascii="Times New Roman;sans-serif" w:hAnsi="Times New Roman;sans-serif"/>
                  <w:b w:val="false"/>
                  <w:color w:val="0000FF"/>
                  <w:sz w:val="20"/>
                  <w:u w:val="single"/>
                </w:rPr>
                <w:t>Condensed Consolidated Statements of Stockholders’ Equity</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25">
              <w:r>
                <w:rPr>
                  <w:rStyle w:val="InternetLink"/>
                  <w:rFonts w:ascii="Times New Roman;sans-serif" w:hAnsi="Times New Roman;sans-serif"/>
                  <w:b w:val="false"/>
                  <w:color w:val="0000FF"/>
                  <w:sz w:val="20"/>
                  <w:u w:val="single"/>
                </w:rPr>
                <w:t>4</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28">
              <w:r>
                <w:rPr>
                  <w:rStyle w:val="InternetLink"/>
                  <w:rFonts w:ascii="Times New Roman;sans-serif" w:hAnsi="Times New Roman;sans-serif"/>
                  <w:b w:val="false"/>
                  <w:color w:val="0000FF"/>
                  <w:sz w:val="20"/>
                  <w:u w:val="single"/>
                </w:rPr>
                <w:t>Condensed Consolidated Statements of Cash Flows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28">
              <w:r>
                <w:rPr>
                  <w:rStyle w:val="InternetLink"/>
                  <w:rFonts w:ascii="Times New Roman;sans-serif" w:hAnsi="Times New Roman;sans-serif"/>
                  <w:b w:val="false"/>
                  <w:color w:val="0000FF"/>
                  <w:sz w:val="20"/>
                  <w:u w:val="single"/>
                </w:rPr>
                <w:t>6</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31">
              <w:r>
                <w:rPr>
                  <w:rStyle w:val="InternetLink"/>
                  <w:rFonts w:ascii="Times New Roman;sans-serif" w:hAnsi="Times New Roman;sans-serif"/>
                  <w:b w:val="false"/>
                  <w:color w:val="0000FF"/>
                  <w:sz w:val="20"/>
                  <w:u w:val="single"/>
                </w:rPr>
                <w:t>Notes to Condensed Consolidated Financial Statements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31">
              <w:r>
                <w:rPr>
                  <w:rStyle w:val="InternetLink"/>
                  <w:rFonts w:ascii="Times New Roman;sans-serif" w:hAnsi="Times New Roman;sans-serif"/>
                  <w:b w:val="false"/>
                  <w:color w:val="0000FF"/>
                  <w:sz w:val="20"/>
                  <w:u w:val="single"/>
                </w:rPr>
                <w:t>7</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79">
              <w:r>
                <w:rPr>
                  <w:rStyle w:val="InternetLink"/>
                  <w:rFonts w:ascii="Times New Roman;sans-serif" w:hAnsi="Times New Roman;sans-serif"/>
                  <w:b w:val="false"/>
                  <w:color w:val="0000FF"/>
                  <w:sz w:val="20"/>
                  <w:u w:val="single"/>
                </w:rPr>
                <w:t>19</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09">
              <w:r>
                <w:rPr>
                  <w:rStyle w:val="InternetLink"/>
                  <w:rFonts w:ascii="Times New Roman;sans-serif" w:hAnsi="Times New Roman;sans-serif"/>
                  <w:b w:val="false"/>
                  <w:color w:val="0000FF"/>
                  <w:sz w:val="20"/>
                  <w:u w:val="single"/>
                </w:rPr>
                <w:t>Quantitative and Qualitative Disclosures About Market Risk</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09">
              <w:r>
                <w:rPr>
                  <w:rStyle w:val="InternetLink"/>
                  <w:rFonts w:ascii="Times New Roman;sans-serif" w:hAnsi="Times New Roman;sans-serif"/>
                  <w:b w:val="false"/>
                  <w:color w:val="0000FF"/>
                  <w:sz w:val="20"/>
                  <w:u w:val="single"/>
                </w:rPr>
                <w:t>33</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12">
              <w:r>
                <w:rPr>
                  <w:rStyle w:val="InternetLink"/>
                  <w:rFonts w:ascii="Times New Roman;sans-serif" w:hAnsi="Times New Roman;sans-serif"/>
                  <w:b w:val="false"/>
                  <w:color w:val="0000FF"/>
                  <w:sz w:val="20"/>
                  <w:u w:val="single"/>
                </w:rPr>
                <w:t>Controls and Procedures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12">
              <w:r>
                <w:rPr>
                  <w:rStyle w:val="InternetLink"/>
                  <w:rFonts w:ascii="Times New Roman;sans-serif" w:hAnsi="Times New Roman;sans-serif"/>
                  <w:b w:val="false"/>
                  <w:color w:val="0000FF"/>
                  <w:sz w:val="20"/>
                  <w:u w:val="single"/>
                </w:rPr>
                <w:t>33</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9" w:type="dxa"/>
            <w:gridSpan w:val="9"/>
            <w:tcBorders/>
            <w:tcMar>
              <w:top w:w="0" w:type="dxa"/>
              <w:left w:w="0" w:type="dxa"/>
              <w:bottom w:w="0" w:type="dxa"/>
              <w:right w:w="0" w:type="dxa"/>
            </w:tcMar>
            <w:vAlign w:val="center"/>
          </w:tcPr>
          <w:p>
            <w:pPr>
              <w:pStyle w:val="TableContents"/>
              <w:bidi w:val="0"/>
              <w:spacing w:lineRule="auto" w:line="256" w:before="120" w:after="283"/>
              <w:jc w:val="center"/>
              <w:rPr/>
            </w:pPr>
            <w:hyperlink w:anchor="i415ffebaee6f4acda10bc64cc15d5aa6_115">
              <w:r>
                <w:rPr>
                  <w:rStyle w:val="InternetLink"/>
                  <w:rFonts w:ascii="Times New Roman;sans-serif" w:hAnsi="Times New Roman;sans-serif"/>
                  <w:b/>
                  <w:color w:val="0000FF"/>
                  <w:sz w:val="20"/>
                  <w:u w:val="single"/>
                </w:rPr>
                <w:t>PART II - OTHER INFORMATION</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18">
              <w:r>
                <w:rPr>
                  <w:rStyle w:val="InternetLink"/>
                  <w:rFonts w:ascii="Times New Roman;sans-serif" w:hAnsi="Times New Roman;sans-serif"/>
                  <w:b w:val="false"/>
                  <w:color w:val="0000FF"/>
                  <w:sz w:val="20"/>
                  <w:u w:val="single"/>
                </w:rPr>
                <w:t>Legal Proceedings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18">
              <w:r>
                <w:rPr>
                  <w:rStyle w:val="InternetLink"/>
                  <w:rFonts w:ascii="Times New Roman;sans-serif" w:hAnsi="Times New Roman;sans-serif"/>
                  <w:b w:val="false"/>
                  <w:color w:val="0000FF"/>
                  <w:sz w:val="20"/>
                  <w:u w:val="single"/>
                </w:rPr>
                <w:t>34</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21">
              <w:r>
                <w:rPr>
                  <w:rStyle w:val="InternetLink"/>
                  <w:rFonts w:ascii="Times New Roman;sans-serif" w:hAnsi="Times New Roman;sans-serif"/>
                  <w:b w:val="false"/>
                  <w:color w:val="0000FF"/>
                  <w:sz w:val="20"/>
                  <w:u w:val="single"/>
                </w:rPr>
                <w:t>Risk Factors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21">
              <w:r>
                <w:rPr>
                  <w:rStyle w:val="InternetLink"/>
                  <w:rFonts w:ascii="Times New Roman;sans-serif" w:hAnsi="Times New Roman;sans-serif"/>
                  <w:b w:val="false"/>
                  <w:color w:val="0000FF"/>
                  <w:sz w:val="20"/>
                  <w:u w:val="single"/>
                </w:rPr>
                <w:t>34</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24">
              <w:r>
                <w:rPr>
                  <w:rStyle w:val="InternetLink"/>
                  <w:rFonts w:ascii="Times New Roman;sans-serif" w:hAnsi="Times New Roman;sans-serif"/>
                  <w:b w:val="false"/>
                  <w:color w:val="0000FF"/>
                  <w:sz w:val="20"/>
                  <w:u w:val="single"/>
                </w:rPr>
                <w:t>Unregistered Sales of Equity Securities and Use of Proceeds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24">
              <w:r>
                <w:rPr>
                  <w:rStyle w:val="InternetLink"/>
                  <w:rFonts w:ascii="Times New Roman;sans-serif" w:hAnsi="Times New Roman;sans-serif"/>
                  <w:b w:val="false"/>
                  <w:color w:val="0000FF"/>
                  <w:sz w:val="20"/>
                  <w:u w:val="single"/>
                </w:rPr>
                <w:t>61</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27">
              <w:r>
                <w:rPr>
                  <w:rStyle w:val="InternetLink"/>
                  <w:rFonts w:ascii="Times New Roman;sans-serif" w:hAnsi="Times New Roman;sans-serif"/>
                  <w:b w:val="false"/>
                  <w:color w:val="0000FF"/>
                  <w:sz w:val="20"/>
                  <w:u w:val="single"/>
                </w:rPr>
                <w:t>Defaults Upon Senior Securities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27">
              <w:r>
                <w:rPr>
                  <w:rStyle w:val="InternetLink"/>
                  <w:rFonts w:ascii="Times New Roman;sans-serif" w:hAnsi="Times New Roman;sans-serif"/>
                  <w:b w:val="false"/>
                  <w:color w:val="0000FF"/>
                  <w:sz w:val="20"/>
                  <w:u w:val="single"/>
                </w:rPr>
                <w:t>61</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30">
              <w:r>
                <w:rPr>
                  <w:rStyle w:val="InternetLink"/>
                  <w:rFonts w:ascii="Times New Roman;sans-serif" w:hAnsi="Times New Roman;sans-serif"/>
                  <w:b w:val="false"/>
                  <w:color w:val="0000FF"/>
                  <w:sz w:val="20"/>
                  <w:u w:val="single"/>
                </w:rPr>
                <w:t>Mine Safety Disclosures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30">
              <w:r>
                <w:rPr>
                  <w:rStyle w:val="InternetLink"/>
                  <w:rFonts w:ascii="Times New Roman;sans-serif" w:hAnsi="Times New Roman;sans-serif"/>
                  <w:b w:val="false"/>
                  <w:color w:val="0000FF"/>
                  <w:sz w:val="20"/>
                  <w:u w:val="single"/>
                </w:rPr>
                <w:t>61</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33">
              <w:r>
                <w:rPr>
                  <w:rStyle w:val="InternetLink"/>
                  <w:rFonts w:ascii="Times New Roman;sans-serif" w:hAnsi="Times New Roman;sans-serif"/>
                  <w:b w:val="false"/>
                  <w:color w:val="0000FF"/>
                  <w:sz w:val="20"/>
                  <w:u w:val="single"/>
                </w:rPr>
                <w:t>Other Information</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33">
              <w:r>
                <w:rPr>
                  <w:rStyle w:val="InternetLink"/>
                  <w:rFonts w:ascii="Times New Roman;sans-serif" w:hAnsi="Times New Roman;sans-serif"/>
                  <w:b w:val="false"/>
                  <w:color w:val="0000FF"/>
                  <w:sz w:val="20"/>
                  <w:u w:val="single"/>
                </w:rPr>
                <w:t>62</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6. </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36">
              <w:r>
                <w:rPr>
                  <w:rStyle w:val="InternetLink"/>
                  <w:rFonts w:ascii="Times New Roman;sans-serif" w:hAnsi="Times New Roman;sans-serif"/>
                  <w:b w:val="false"/>
                  <w:color w:val="0000FF"/>
                  <w:sz w:val="20"/>
                  <w:u w:val="single"/>
                </w:rPr>
                <w:t>Exhibits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36">
              <w:r>
                <w:rPr>
                  <w:rStyle w:val="InternetLink"/>
                  <w:rFonts w:ascii="Times New Roman;sans-serif" w:hAnsi="Times New Roman;sans-serif"/>
                  <w:b w:val="false"/>
                  <w:color w:val="0000FF"/>
                  <w:sz w:val="20"/>
                  <w:u w:val="single"/>
                </w:rPr>
                <w:t>63</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415ffebaee6f4acda10bc64cc15d5aa6_139">
              <w:r>
                <w:rPr>
                  <w:rStyle w:val="InternetLink"/>
                  <w:rFonts w:ascii="Times New Roman;sans-serif" w:hAnsi="Times New Roman;sans-serif"/>
                  <w:b w:val="false"/>
                  <w:color w:val="0000FF"/>
                  <w:sz w:val="20"/>
                  <w:u w:val="single"/>
                </w:rPr>
                <w:t>Signatures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415ffebaee6f4acda10bc64cc15d5aa6_139">
              <w:r>
                <w:rPr>
                  <w:rStyle w:val="InternetLink"/>
                  <w:rFonts w:ascii="Times New Roman;sans-serif" w:hAnsi="Times New Roman;sans-serif"/>
                  <w:b w:val="false"/>
                  <w:color w:val="0000FF"/>
                  <w:sz w:val="20"/>
                  <w:u w:val="singl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3179"/>
        <w:gridCol w:w="2211"/>
        <w:gridCol w:w="2150"/>
        <w:gridCol w:w="211"/>
        <w:gridCol w:w="826"/>
        <w:gridCol w:w="109"/>
        <w:gridCol w:w="109"/>
        <w:gridCol w:w="109"/>
        <w:gridCol w:w="109"/>
        <w:gridCol w:w="211"/>
        <w:gridCol w:w="826"/>
        <w:gridCol w:w="155"/>
      </w:tblGrid>
      <w:tr>
        <w:trPr/>
        <w:tc>
          <w:tcPr>
            <w:tcW w:w="317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503,478 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302,026 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329,987 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per share, 10,000 shares authorized as of June 30, 2023 and December 31, 2022; No shares issued and outstanding as of June 30, 2023 and December 31,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 1,000,000 Class A shares authorized as of June 30, 2023 and December 31, 2022; 44,300 shares issued and 42,713 shares outstanding as of June 30, 2023; 43,452 shares issued and outstanding as of December 31, 2022; 1,000,000 Class B shares authorized as of June 30, 2023 and December 31, 2022; 12,369 shares issued and 9,229 shares outstanding as of June 30, 2023; 12,393 shares issued and 9,253 shares outstanding as of December 31,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4,727 and 3,140 shares as of June 30,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685"/>
                <wp:effectExtent l="0" t="0" r="0" b="0"/>
                <wp:wrapNone/>
                <wp:docPr id="3" name="Frame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before="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OPERATIONS </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003"/>
        <w:gridCol w:w="1400"/>
        <w:gridCol w:w="140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200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of Class A and Class B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of Class A and Class B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income (loss) per share attributable to common stockholders: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left"/>
        <w:rPr/>
      </w:pPr>
      <w:r>
        <w:rPr/>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(1)Amounts for the three and six months ended June 30, 2023 include a provision for bad debt of $5.7 million relating to a Demand Side Platform (“DSP”) buyer of our platform that filed for Chapter 11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13080"/>
                <wp:effectExtent l="0" t="0" r="0" b="0"/>
                <wp:wrapNone/>
                <wp:docPr id="4" name="Frame4"/>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9885" w:type="dxa"/>
        <w:jc w:val="left"/>
        <w:tblInd w:w="0" w:type="dxa"/>
        <w:tblLayout w:type="fixed"/>
        <w:tblCellMar>
          <w:top w:w="28" w:type="dxa"/>
          <w:left w:w="28" w:type="dxa"/>
          <w:bottom w:w="28" w:type="dxa"/>
          <w:right w:w="28" w:type="dxa"/>
        </w:tblCellMar>
      </w:tblPr>
      <w:tblGrid>
        <w:gridCol w:w="1722"/>
        <w:gridCol w:w="1510"/>
        <w:gridCol w:w="1523"/>
        <w:gridCol w:w="211"/>
        <w:gridCol w:w="691"/>
        <w:gridCol w:w="109"/>
        <w:gridCol w:w="109"/>
        <w:gridCol w:w="109"/>
        <w:gridCol w:w="109"/>
        <w:gridCol w:w="211"/>
        <w:gridCol w:w="616"/>
        <w:gridCol w:w="109"/>
        <w:gridCol w:w="109"/>
        <w:gridCol w:w="109"/>
        <w:gridCol w:w="109"/>
        <w:gridCol w:w="211"/>
        <w:gridCol w:w="796"/>
        <w:gridCol w:w="109"/>
        <w:gridCol w:w="109"/>
        <w:gridCol w:w="109"/>
        <w:gridCol w:w="109"/>
        <w:gridCol w:w="211"/>
        <w:gridCol w:w="721"/>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 net of tax</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13080"/>
                <wp:effectExtent l="0" t="0" r="0" b="0"/>
                <wp:wrapNone/>
                <wp:docPr id="5" name="Frame5"/>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676" w:type="dxa"/>
        <w:jc w:val="left"/>
        <w:tblInd w:w="0" w:type="dxa"/>
        <w:tblLayout w:type="fixed"/>
        <w:tblCellMar>
          <w:top w:w="28" w:type="dxa"/>
          <w:left w:w="28" w:type="dxa"/>
          <w:bottom w:w="28" w:type="dxa"/>
          <w:right w:w="28" w:type="dxa"/>
        </w:tblCellMar>
      </w:tblPr>
      <w:tblGrid>
        <w:gridCol w:w="757"/>
        <w:gridCol w:w="296"/>
        <w:gridCol w:w="298"/>
        <w:gridCol w:w="360"/>
        <w:gridCol w:w="361"/>
        <w:gridCol w:w="196"/>
        <w:gridCol w:w="109"/>
        <w:gridCol w:w="109"/>
        <w:gridCol w:w="109"/>
        <w:gridCol w:w="253"/>
        <w:gridCol w:w="307"/>
        <w:gridCol w:w="131"/>
        <w:gridCol w:w="109"/>
        <w:gridCol w:w="109"/>
        <w:gridCol w:w="109"/>
        <w:gridCol w:w="211"/>
        <w:gridCol w:w="736"/>
        <w:gridCol w:w="109"/>
        <w:gridCol w:w="109"/>
        <w:gridCol w:w="109"/>
        <w:gridCol w:w="109"/>
        <w:gridCol w:w="211"/>
        <w:gridCol w:w="826"/>
        <w:gridCol w:w="109"/>
        <w:gridCol w:w="109"/>
        <w:gridCol w:w="109"/>
        <w:gridCol w:w="109"/>
        <w:gridCol w:w="368"/>
        <w:gridCol w:w="656"/>
        <w:gridCol w:w="192"/>
        <w:gridCol w:w="109"/>
        <w:gridCol w:w="109"/>
        <w:gridCol w:w="109"/>
        <w:gridCol w:w="211"/>
        <w:gridCol w:w="826"/>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676" w:type="dxa"/>
        <w:jc w:val="left"/>
        <w:tblInd w:w="0" w:type="dxa"/>
        <w:tblLayout w:type="fixed"/>
        <w:tblCellMar>
          <w:top w:w="28" w:type="dxa"/>
          <w:left w:w="28" w:type="dxa"/>
          <w:bottom w:w="28" w:type="dxa"/>
          <w:right w:w="28" w:type="dxa"/>
        </w:tblCellMar>
      </w:tblPr>
      <w:tblGrid>
        <w:gridCol w:w="757"/>
        <w:gridCol w:w="296"/>
        <w:gridCol w:w="298"/>
        <w:gridCol w:w="360"/>
        <w:gridCol w:w="361"/>
        <w:gridCol w:w="196"/>
        <w:gridCol w:w="109"/>
        <w:gridCol w:w="109"/>
        <w:gridCol w:w="109"/>
        <w:gridCol w:w="253"/>
        <w:gridCol w:w="307"/>
        <w:gridCol w:w="131"/>
        <w:gridCol w:w="109"/>
        <w:gridCol w:w="109"/>
        <w:gridCol w:w="109"/>
        <w:gridCol w:w="211"/>
        <w:gridCol w:w="736"/>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2022</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before="0" w:after="0"/>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91"/>
        <w:gridCol w:w="2423"/>
        <w:gridCol w:w="2430"/>
        <w:gridCol w:w="211"/>
        <w:gridCol w:w="826"/>
        <w:gridCol w:w="109"/>
        <w:gridCol w:w="109"/>
        <w:gridCol w:w="109"/>
        <w:gridCol w:w="109"/>
        <w:gridCol w:w="211"/>
        <w:gridCol w:w="721"/>
        <w:gridCol w:w="156"/>
      </w:tblGrid>
      <w:tr>
        <w:trPr/>
        <w:tc>
          <w:tcPr>
            <w:tcW w:w="2791"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equity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non-current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for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acquire treasury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INVESTING AND FINANCING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capitalized as internal-use software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in accounts payable and accrued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included in accounts payable and accrued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purchase consideration - indemnification claims holdback</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8" name="Frame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PUBMATIC, INC. AND SUBSIDIARIES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PubMatic, Inc. (together with its subsidiaries, the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December 31, and its fiscal quarters end on March 31, June 30, September 30, and December 31. References to fiscal year 2023, for example, refer to the fiscal year ending December 31, 2023.</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Condensed Consolidated Financial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2023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2022, as filed with the SEC on February 28, 2023 (the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 Certain prior period amounts reported in our condensed consolidated financial statements and notes thereto have been reclassified to conform to the current period presentation.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June 30, 2023, may result in actual outcomes that differ from those contemplated by the Company’s assumptions and estimates.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Revenue and Accounts Receivable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its revenue concentration based on revenue recognized from individual publishers. For the three months ended June 30, 2023 and 2022, one publisher represented less than 10% and 12%, respectively, and 10% and 13% for the six months ended June 30, 2023 and 2022, respectively, of the Company’s revenue. As of June 30, 2023, two buyers accounted for 30% and 19%, respectively, of accounts receivable. As of December 31, 2022, three buyers accounted for 33%, 15%, and 11%, respectively, of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Account balances are written off against the allowance when the Company believes it is probable the receivable will not be recovered.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allowance for credit losses (in thousands):</w:t>
      </w:r>
    </w:p>
    <w:tbl>
      <w:tblPr>
        <w:tblW w:w="8879" w:type="dxa"/>
        <w:jc w:val="left"/>
        <w:tblInd w:w="0" w:type="dxa"/>
        <w:tblLayout w:type="fixed"/>
        <w:tblCellMar>
          <w:top w:w="28" w:type="dxa"/>
          <w:left w:w="28" w:type="dxa"/>
          <w:bottom w:w="28" w:type="dxa"/>
          <w:right w:w="28" w:type="dxa"/>
        </w:tblCellMar>
      </w:tblPr>
      <w:tblGrid>
        <w:gridCol w:w="1413"/>
        <w:gridCol w:w="1239"/>
        <w:gridCol w:w="124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provision for expected credit losses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provision for expected credit losses associated with accounts receivable increased by $14.5 million relating to uncollectible receivables for a DSP buyer of the Company’s platform that filed for Chapter 11 bankruptcy on June 30, 2023. Of the total uncollectible receivables from the DSP buyer of $14.5 million, $8.8 million was subject to chargeback to publishers of the Company and recorded as contra payable to publishers related to expected recoveries. The result was $5.7 million of bad debt expense for the three and six months ended June 30, 2023.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the Financial Accounting Standards Board (“FASB”) issued Accounting Standards Update (“ASU”) No. 2021-08, Business Combinations (Topic 805): Accounting for Contract Assets and Contract Liabilities from Contracts with Customers, which requires contract assets and contract liabilities acquired in a business combination to be recognized and measured in accordance with Topic 606, Revenue from Contracts with Customers, as if the acquirer had originated the contracts. Under previous GAAP, such assets and liabilities were recognized by the acquirer at fair value on the acquisition date. The Company adopted ASU 2021-08 as of January 1, 2023. The adoption of ASU 2021-08 did not have a material impact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Fair Value Measurements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fair value of the Company’s financial assets and liabilities measured on a recurring basis by level within the fair value hierarchy (in thousands): </w:t>
      </w:r>
    </w:p>
    <w:tbl>
      <w:tblPr>
        <w:tblW w:w="8760" w:type="dxa"/>
        <w:jc w:val="left"/>
        <w:tblInd w:w="0" w:type="dxa"/>
        <w:tblLayout w:type="fixed"/>
        <w:tblCellMar>
          <w:top w:w="28" w:type="dxa"/>
          <w:left w:w="28" w:type="dxa"/>
          <w:bottom w:w="28" w:type="dxa"/>
          <w:right w:w="28" w:type="dxa"/>
        </w:tblCellMar>
      </w:tblPr>
      <w:tblGrid>
        <w:gridCol w:w="1368"/>
        <w:gridCol w:w="1202"/>
        <w:gridCol w:w="1210"/>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marketable securities by significant investment categories (in thousands):</w:t>
      </w:r>
    </w:p>
    <w:tbl>
      <w:tblPr>
        <w:tblW w:w="9626" w:type="dxa"/>
        <w:jc w:val="left"/>
        <w:tblInd w:w="0" w:type="dxa"/>
        <w:tblLayout w:type="fixed"/>
        <w:tblCellMar>
          <w:top w:w="28" w:type="dxa"/>
          <w:left w:w="28" w:type="dxa"/>
          <w:bottom w:w="28" w:type="dxa"/>
          <w:right w:w="28" w:type="dxa"/>
        </w:tblCellMar>
      </w:tblPr>
      <w:tblGrid>
        <w:gridCol w:w="1368"/>
        <w:gridCol w:w="1203"/>
        <w:gridCol w:w="1208"/>
        <w:gridCol w:w="252"/>
        <w:gridCol w:w="863"/>
        <w:gridCol w:w="130"/>
        <w:gridCol w:w="109"/>
        <w:gridCol w:w="109"/>
        <w:gridCol w:w="109"/>
        <w:gridCol w:w="374"/>
        <w:gridCol w:w="721"/>
        <w:gridCol w:w="195"/>
        <w:gridCol w:w="109"/>
        <w:gridCol w:w="109"/>
        <w:gridCol w:w="109"/>
        <w:gridCol w:w="361"/>
        <w:gridCol w:w="696"/>
        <w:gridCol w:w="188"/>
        <w:gridCol w:w="109"/>
        <w:gridCol w:w="109"/>
        <w:gridCol w:w="109"/>
        <w:gridCol w:w="211"/>
        <w:gridCol w:w="721"/>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contractual maturity of all marketable securities was within one year as of June 30, 2023 and December 31, 2022. Realized gains and losses were immaterial for the six months ended June 30, 2023 and 2022. As of June 30, 2023 and 2022, there were no securities that were in an unrealized loss position for more than twelve months.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(in thousands):</w:t>
      </w:r>
    </w:p>
    <w:tbl>
      <w:tblPr>
        <w:tblW w:w="6931" w:type="dxa"/>
        <w:jc w:val="left"/>
        <w:tblInd w:w="0" w:type="dxa"/>
        <w:tblLayout w:type="fixed"/>
        <w:tblCellMar>
          <w:top w:w="28" w:type="dxa"/>
          <w:left w:w="28" w:type="dxa"/>
          <w:bottom w:w="28" w:type="dxa"/>
          <w:right w:w="28" w:type="dxa"/>
        </w:tblCellMar>
      </w:tblPr>
      <w:tblGrid>
        <w:gridCol w:w="1600"/>
        <w:gridCol w:w="1408"/>
        <w:gridCol w:w="1416"/>
        <w:gridCol w:w="211"/>
        <w:gridCol w:w="721"/>
        <w:gridCol w:w="109"/>
        <w:gridCol w:w="109"/>
        <w:gridCol w:w="109"/>
        <w:gridCol w:w="109"/>
        <w:gridCol w:w="221"/>
        <w:gridCol w:w="757"/>
        <w:gridCol w:w="161"/>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hardware, 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71,156 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equipment, and software (excluding amortization of internal-use software) was $7.2 million and $4.9 million for the three months ended June 30, 2023 and 2022, respectively, and $14.6 million and $9.9 million for the six months ended June 30, 2023 and 2022,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$5.4 million and $3.5 million in software development costs during the three months ended June 30, 2023 and 2022, respectively, and $10.8 million and $6.7 million for the six months ended June 30, 2023 and 2022, respectively. Amortization expense of internal-use software was $3.3 million and $2.4 million during the three months ended June 30, 2023 and 2022, respectively, and $6.1 million and $4.6 million for the six months ended June 30, 2023 and 2022, respectively. These costs are included within cost of revenue in the condensed consolidated statements of operations.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recognize any impairment charges on its long-lived assets during the six months ended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Payable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consisted of the following (in thousands):</w:t>
      </w:r>
    </w:p>
    <w:tbl>
      <w:tblPr>
        <w:tblW w:w="4824" w:type="dxa"/>
        <w:jc w:val="left"/>
        <w:tblInd w:w="0" w:type="dxa"/>
        <w:tblLayout w:type="fixed"/>
        <w:tblCellMar>
          <w:top w:w="28" w:type="dxa"/>
          <w:left w:w="28" w:type="dxa"/>
          <w:bottom w:w="28" w:type="dxa"/>
          <w:right w:w="28" w:type="dxa"/>
        </w:tblCellMar>
      </w:tblPr>
      <w:tblGrid>
        <w:gridCol w:w="782"/>
        <w:gridCol w:w="688"/>
        <w:gridCol w:w="690"/>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publishers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240,069 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277,414 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Accrued Liabilities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552" w:type="dxa"/>
        <w:jc w:val="left"/>
        <w:tblInd w:w="0" w:type="dxa"/>
        <w:tblLayout w:type="fixed"/>
        <w:tblCellMar>
          <w:top w:w="28" w:type="dxa"/>
          <w:left w:w="28" w:type="dxa"/>
          <w:bottom w:w="28" w:type="dxa"/>
          <w:right w:w="28" w:type="dxa"/>
        </w:tblCellMar>
      </w:tblPr>
      <w:tblGrid>
        <w:gridCol w:w="1103"/>
        <w:gridCol w:w="968"/>
        <w:gridCol w:w="974"/>
        <w:gridCol w:w="211"/>
        <w:gridCol w:w="721"/>
        <w:gridCol w:w="109"/>
        <w:gridCol w:w="109"/>
        <w:gridCol w:w="109"/>
        <w:gridCol w:w="109"/>
        <w:gridCol w:w="221"/>
        <w:gridCol w:w="757"/>
        <w:gridCol w:w="161"/>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 Senior Secured Credit Facilities Agreement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the Company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9)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As of June 30, 2023, the applicable interest rate under the revolving credit facility was 7.00%.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To date, the Company is in compliance with the affirmative and negative covenants.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use amounts borrowed under the Credit Agreement for general corporate purposes or working capital financing. The Company may borrow additional amounts under the Credit Agreement from time to time as opportunities and needs arise.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condensed consolidated financial statements.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 (in thousands):</w:t>
      </w:r>
    </w:p>
    <w:tbl>
      <w:tblPr>
        <w:tblW w:w="6588" w:type="dxa"/>
        <w:jc w:val="left"/>
        <w:tblInd w:w="0" w:type="dxa"/>
        <w:tblLayout w:type="fixed"/>
        <w:tblCellMar>
          <w:top w:w="28" w:type="dxa"/>
          <w:left w:w="28" w:type="dxa"/>
          <w:bottom w:w="28" w:type="dxa"/>
          <w:right w:w="28" w:type="dxa"/>
        </w:tblCellMar>
      </w:tblPr>
      <w:tblGrid>
        <w:gridCol w:w="635"/>
        <w:gridCol w:w="558"/>
        <w:gridCol w:w="56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 weighted average discount rate of 3.26% and 2.24% has been applied to the remaining operating and finance lease payments, respectively, to calculate the lease liabilities included within the condensed consolidated balance sheets. The weighted average remaining lease term of operating and finance leases is 4.2 and 4.8 years, respectively, as of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maturities of lease liabilities under operating and finance leases were as follows (in thousands):</w:t>
      </w:r>
    </w:p>
    <w:tbl>
      <w:tblPr>
        <w:tblW w:w="7454" w:type="dxa"/>
        <w:jc w:val="left"/>
        <w:tblInd w:w="0" w:type="dxa"/>
        <w:tblLayout w:type="fixed"/>
        <w:tblCellMar>
          <w:top w:w="28" w:type="dxa"/>
          <w:left w:w="28" w:type="dxa"/>
          <w:bottom w:w="28" w:type="dxa"/>
          <w:right w:w="28" w:type="dxa"/>
        </w:tblCellMar>
      </w:tblPr>
      <w:tblGrid>
        <w:gridCol w:w="1145"/>
        <w:gridCol w:w="1006"/>
        <w:gridCol w:w="1013"/>
        <w:gridCol w:w="276"/>
        <w:gridCol w:w="946"/>
        <w:gridCol w:w="143"/>
        <w:gridCol w:w="109"/>
        <w:gridCol w:w="109"/>
        <w:gridCol w:w="109"/>
        <w:gridCol w:w="318"/>
        <w:gridCol w:w="703"/>
        <w:gridCol w:w="164"/>
        <w:gridCol w:w="109"/>
        <w:gridCol w:w="109"/>
        <w:gridCol w:w="109"/>
        <w:gridCol w:w="211"/>
        <w:gridCol w:w="72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 Business Combination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2022, the Company acquired all outstanding stock of ConsultMates, Inc. (dba “Martin”), a media measurement and reporting platform, for $30.8 million. The acquisition is in response to growing demand from the Company’s buy-side customers for enhanced tools to take advantage of the Company’s global omnichannel inventory, including market-leading addressability solutions and innovative technology to enable supply path optimization. The assets acquired and liabilities assumed were recorded at fair value. The purchase price excludes $14.2 million of post-acquisition cash compensation arrangements for certain key acquired employees to be paid ratably over three years following the closing of the acquisition (subject to forfeiture upon termination). The purchase price was attributed to $7.9 million of developed technology intangible assets, $1.0 million of customer relationship intangible assets, $23.3 million of goodwill, $1.1 million of deferred tax liabilities, and $0.3 million of net liabilities assumed. The fair values of assets acquired and liabilities assumed may change over the measurement period as additional information is received. The measurement period will end no later than one year from the acquisition date. The goodwill recognized was primarily attributable to the assembled workforce and the expected synergies from integrating Martin’s technology into the Company’s platform. Goodwill is not expected to be deductible for tax purposes. The financial results of Martin are included in the Company’s condensed consolidated financial statements from the date of acquisition. Separate operating results and pro forma results of operations for Martin have not been presented as the effect of this acquisition was not material to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 Acquisition-related Intangible Assets, Net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Acquisition-related Intangible Assets,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 net consisted of the following (in thousands):</w:t>
      </w:r>
    </w:p>
    <w:tbl>
      <w:tblPr>
        <w:tblW w:w="9660" w:type="dxa"/>
        <w:jc w:val="left"/>
        <w:tblInd w:w="0" w:type="dxa"/>
        <w:tblLayout w:type="fixed"/>
        <w:tblCellMar>
          <w:top w:w="28" w:type="dxa"/>
          <w:left w:w="28" w:type="dxa"/>
          <w:bottom w:w="28" w:type="dxa"/>
          <w:right w:w="28" w:type="dxa"/>
        </w:tblCellMar>
      </w:tblPr>
      <w:tblGrid>
        <w:gridCol w:w="1277"/>
        <w:gridCol w:w="1120"/>
        <w:gridCol w:w="1127"/>
        <w:gridCol w:w="109"/>
        <w:gridCol w:w="422"/>
        <w:gridCol w:w="1235"/>
        <w:gridCol w:w="218"/>
        <w:gridCol w:w="109"/>
        <w:gridCol w:w="465"/>
        <w:gridCol w:w="1362"/>
        <w:gridCol w:w="243"/>
        <w:gridCol w:w="109"/>
        <w:gridCol w:w="385"/>
        <w:gridCol w:w="1126"/>
        <w:gridCol w:w="199"/>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973" w:type="dxa"/>
            <w:gridSpan w:val="5"/>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973" w:type="dxa"/>
            <w:gridSpan w:val="5"/>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useful life of developed technology was 4.25 years as of June 30, 2023. Amortization expense related to acquisition-related intangibles was $0.4 million for the three months ended June 30, 2023 and $1.6 million for the six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estimated future amortization expense for acquisition-related intangible assets was as follows (in thousands):</w:t>
      </w:r>
    </w:p>
    <w:tbl>
      <w:tblPr>
        <w:tblW w:w="8319" w:type="dxa"/>
        <w:jc w:val="left"/>
        <w:tblInd w:w="0" w:type="dxa"/>
        <w:tblLayout w:type="fixed"/>
        <w:tblCellMar>
          <w:top w:w="28" w:type="dxa"/>
          <w:left w:w="28" w:type="dxa"/>
          <w:bottom w:w="28" w:type="dxa"/>
          <w:right w:w="28" w:type="dxa"/>
        </w:tblCellMar>
      </w:tblPr>
      <w:tblGrid>
        <w:gridCol w:w="2616"/>
        <w:gridCol w:w="2298"/>
        <w:gridCol w:w="2315"/>
        <w:gridCol w:w="109"/>
        <w:gridCol w:w="211"/>
        <w:gridCol w:w="616"/>
        <w:gridCol w:w="154"/>
      </w:tblGrid>
      <w:tr>
        <w:trPr/>
        <w:tc>
          <w:tcPr>
            <w:tcW w:w="261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estimated future amortization expense for acquisition-related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9 – Commitments and Contingencies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purchase obligations primarily relate to minimum contractual payments due to data center providers. During the three and six months ended June 30, 2023, there were no material changes to the Company’s non-cancelable purchase obligations disclosed in the Company’s Annual Report on Form 10-K for the fiscal year ended December 31,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two irrevocable letters of credit outstanding related to non-cancelable facilities leases in the amounts of $3.5 million and $0.5 million, with annual automatic renewal and final expiration dates in July 2028 and April 2025,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 Stockholders’ Equity and Equity Incentive Plans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Company’s board of directors authorized the Company to repurchase up to $75 million of its Class A common stock (“2023 Repurchase Program”). As of June 30, 2023, $51.5 million remains available for repurchases. Shares are repurchased in a manner deemed in the best interest of the Company and its stockholders, dependent upon business, economic and market conditions, corporate and regulatory requirements, prevailing stock prices and other considerations.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authorization of the Company’s board of directors, during the three and six months ended June 30, 2023, the Company repurchased 999,366 and 1,586,196 aggregate shares of Class A common stock for $15.6 million and $23.5 million,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Repurchases are executed from time to time, subject to general business and market conditions and other investment opportunities, through open market purchases or privately negotiated transactions, in accordance with Rule 10b-18 and/or Rule 10b5-1 of the Exchange Act. The 2023 Repurchase Program is scheduled to terminate on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the 2020 Equity Incentive Plan (“2020 Plan”), pursuant to which the Company may grant stock options, restricted stock awards, stock appreciation rights, restricted stock units (“RSUs”), deferred stock units (“DSUs”) performance awards, and stock bonus awards. As of June 30, 2023, the Company has reserved 6,653,813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and related information under the Company’s equity incentive plans:</w:t>
      </w:r>
    </w:p>
    <w:tbl>
      <w:tblPr>
        <w:tblW w:w="10205" w:type="dxa"/>
        <w:jc w:val="left"/>
        <w:tblInd w:w="0" w:type="dxa"/>
        <w:tblLayout w:type="fixed"/>
        <w:tblCellMar>
          <w:top w:w="28" w:type="dxa"/>
          <w:left w:w="28" w:type="dxa"/>
          <w:bottom w:w="28" w:type="dxa"/>
          <w:right w:w="28" w:type="dxa"/>
        </w:tblCellMar>
      </w:tblPr>
      <w:tblGrid>
        <w:gridCol w:w="680"/>
        <w:gridCol w:w="596"/>
        <w:gridCol w:w="600"/>
        <w:gridCol w:w="622"/>
        <w:gridCol w:w="622"/>
        <w:gridCol w:w="623"/>
        <w:gridCol w:w="109"/>
        <w:gridCol w:w="109"/>
        <w:gridCol w:w="109"/>
        <w:gridCol w:w="455"/>
        <w:gridCol w:w="1104"/>
        <w:gridCol w:w="236"/>
        <w:gridCol w:w="109"/>
        <w:gridCol w:w="109"/>
        <w:gridCol w:w="109"/>
        <w:gridCol w:w="659"/>
        <w:gridCol w:w="659"/>
        <w:gridCol w:w="662"/>
        <w:gridCol w:w="109"/>
        <w:gridCol w:w="109"/>
        <w:gridCol w:w="109"/>
        <w:gridCol w:w="330"/>
        <w:gridCol w:w="1128"/>
        <w:gridCol w:w="248"/>
      </w:tblGrid>
      <w:tr>
        <w:trPr/>
        <w:tc>
          <w:tcPr>
            <w:tcW w:w="6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Outstanding Options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55,516 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82,416 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June 30, 2023</w:t>
            </w:r>
          </w:p>
        </w:tc>
        <w:tc>
          <w:tcPr>
            <w:tcW w:w="124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5,246 </w:t>
            </w:r>
          </w:p>
        </w:tc>
        <w:tc>
          <w:tcPr>
            <w:tcW w:w="6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73,135 </w:t>
            </w:r>
          </w:p>
        </w:tc>
        <w:tc>
          <w:tcPr>
            <w:tcW w:w="2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unrecognized stock-based compensation of $19.5 million related to unvested stock options will be recognized on a straight-line basis over a weighted average period of 2.59 years.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and related information under the Company’s 2020 Plan:</w:t>
      </w:r>
    </w:p>
    <w:tbl>
      <w:tblPr>
        <w:tblW w:w="8635" w:type="dxa"/>
        <w:jc w:val="left"/>
        <w:tblInd w:w="0" w:type="dxa"/>
        <w:tblLayout w:type="fixed"/>
        <w:tblCellMar>
          <w:top w:w="28" w:type="dxa"/>
          <w:left w:w="28" w:type="dxa"/>
          <w:bottom w:w="28" w:type="dxa"/>
          <w:right w:w="28" w:type="dxa"/>
        </w:tblCellMar>
      </w:tblPr>
      <w:tblGrid>
        <w:gridCol w:w="1059"/>
        <w:gridCol w:w="930"/>
        <w:gridCol w:w="936"/>
        <w:gridCol w:w="469"/>
        <w:gridCol w:w="469"/>
        <w:gridCol w:w="471"/>
        <w:gridCol w:w="109"/>
        <w:gridCol w:w="109"/>
        <w:gridCol w:w="109"/>
        <w:gridCol w:w="854"/>
        <w:gridCol w:w="2494"/>
        <w:gridCol w:w="626"/>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June 30,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unrecognized stock-based compensation of $60.0 million related to unvested RSUs will be recognized on a straight-line basis over a weighted average period of 3.04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Company’s board of directors adopted, and its stockholders approved, the 2020 Employee Stock Purchase Plan (“ESPP”), which became effective in connection with the Company’s IPO. A total of 500,000 shares of the Company’s Class A common stock were initially reserved for issuance under the ESPP.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June 30, 2023, the Company had reserved 464,796 shares of its Class A common stock for issuance under the ESPP.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2022, and the offering periods thereafter consist of two six-month purchase periods ending May 31, 2023. As of June 30, 2023, $0.2 million has been withheld on behalf of employees for a future purchase under the ESPP due to the timing of payroll deductions and is included in accrued liabilities. For the six months ended June 30, 2023, there were 65,092 shares of our Class A common stock purchased under the ESPP.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stock-based compensation expense related to the ESPP was $1.1 million, which is expected to be recognized over a weighted-average period of 0.92 years.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recognized in the condensed consolidated statements of operations was as follows (in thousands):</w:t>
      </w:r>
    </w:p>
    <w:tbl>
      <w:tblPr>
        <w:tblW w:w="9737" w:type="dxa"/>
        <w:jc w:val="left"/>
        <w:tblInd w:w="0" w:type="dxa"/>
        <w:tblLayout w:type="fixed"/>
        <w:tblCellMar>
          <w:top w:w="28" w:type="dxa"/>
          <w:left w:w="28" w:type="dxa"/>
          <w:bottom w:w="28" w:type="dxa"/>
          <w:right w:w="28" w:type="dxa"/>
        </w:tblCellMar>
      </w:tblPr>
      <w:tblGrid>
        <w:gridCol w:w="1735"/>
        <w:gridCol w:w="1529"/>
        <w:gridCol w:w="1535"/>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616"/>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net of tax effect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 Net Income (Loss) Per Share Attributable to Common Stockholders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classes of common stock, Class A and Class B. Basic and diluted earnings per share (“EPS”) attributable to common stockholders for Class A and Class B common stock were the same because they were entitled to the same liquidation and dividend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856"/>
        <w:gridCol w:w="1617"/>
        <w:gridCol w:w="1626"/>
        <w:gridCol w:w="211"/>
        <w:gridCol w:w="678"/>
        <w:gridCol w:w="109"/>
        <w:gridCol w:w="109"/>
        <w:gridCol w:w="109"/>
        <w:gridCol w:w="109"/>
        <w:gridCol w:w="211"/>
        <w:gridCol w:w="616"/>
        <w:gridCol w:w="109"/>
        <w:gridCol w:w="109"/>
        <w:gridCol w:w="109"/>
        <w:gridCol w:w="109"/>
        <w:gridCol w:w="211"/>
        <w:gridCol w:w="783"/>
        <w:gridCol w:w="109"/>
        <w:gridCol w:w="109"/>
        <w:gridCol w:w="109"/>
        <w:gridCol w:w="109"/>
        <w:gridCol w:w="211"/>
        <w:gridCol w:w="721"/>
        <w:gridCol w:w="156"/>
      </w:tblGrid>
      <w:tr>
        <w:trPr/>
        <w:tc>
          <w:tcPr>
            <w:tcW w:w="185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common stockholders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Denominator:</w:t>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 basic</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Options to purchase common stock</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4,807 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stock</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Employee stock purchase plan shares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 diluted</w:t>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56,868 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share attributable to common stockholders –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0.22 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outstanding shares of common stock equivalents were excluded from the computation of diluted net income (loss) per share attributable to common stockholders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2228"/>
        <w:gridCol w:w="1916"/>
        <w:gridCol w:w="1924"/>
        <w:gridCol w:w="251"/>
        <w:gridCol w:w="234"/>
        <w:gridCol w:w="193"/>
        <w:gridCol w:w="193"/>
        <w:gridCol w:w="193"/>
        <w:gridCol w:w="193"/>
        <w:gridCol w:w="251"/>
        <w:gridCol w:w="234"/>
        <w:gridCol w:w="193"/>
        <w:gridCol w:w="109"/>
        <w:gridCol w:w="109"/>
        <w:gridCol w:w="109"/>
        <w:gridCol w:w="224"/>
        <w:gridCol w:w="224"/>
        <w:gridCol w:w="183"/>
        <w:gridCol w:w="177"/>
        <w:gridCol w:w="177"/>
        <w:gridCol w:w="177"/>
        <w:gridCol w:w="224"/>
        <w:gridCol w:w="224"/>
        <w:gridCol w:w="265"/>
      </w:tblGrid>
      <w:tr>
        <w:trPr/>
        <w:tc>
          <w:tcPr>
            <w:tcW w:w="222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6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68"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Options to purchase common stock</w:t>
            </w:r>
          </w:p>
        </w:tc>
        <w:tc>
          <w:tcPr>
            <w:tcW w:w="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2,239</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2,066</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982</w:t>
            </w:r>
          </w:p>
        </w:tc>
      </w:tr>
      <w:tr>
        <w:trPr/>
        <w:tc>
          <w:tcPr>
            <w:tcW w:w="6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Unvested restricted stock units</w:t>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890</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1,671</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1,001</w:t>
            </w:r>
          </w:p>
        </w:tc>
      </w:tr>
      <w:tr>
        <w:trPr/>
        <w:tc>
          <w:tcPr>
            <w:tcW w:w="6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ESPP</w:t>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w:t>
            </w:r>
          </w:p>
        </w:tc>
      </w:tr>
      <w:tr>
        <w:trPr/>
        <w:tc>
          <w:tcPr>
            <w:tcW w:w="6068"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equivalents excluded from net income per share attributable to common stockholders – diluted</w:t>
            </w:r>
          </w:p>
        </w:tc>
        <w:tc>
          <w:tcPr>
            <w:tcW w:w="67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3,187</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3,812</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12 – Income Taxes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its provision (benefit) for income taxes by applying the estimated annual effective tax rate to pretax income and adjusts the provision for discrete tax items recorded in the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provision for income taxes of $0.5 million and $1.9 million for the three months ended June 30, 2023 and 2022, respectively, and an income tax benefit of $2.8 million and provision for income taxes of $3.3 million for the six months ended June 30, 2023 and 2022,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(11)% and 20% for the three months ended June 30, 2023 and 2022, respectively, and 20% and 21% for the six months ended June 30, 2023 and 2022, respectively. The income tax benefit for the six months ended June 30, 2023 is related to an increase in U.S. year-to-date pre-tax book loss and tax benefit from foreign-derived intangible income (FDII), foreign tax credit and research tax credit, partially offset by an increase in tax expense primarily related to nondeductible stock-based compensation, global intangible low-taxed income (GILTI), and Section 162(m) limitation on the tax deductibility of officers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Note 13 – Segment Information</w:t>
      </w:r>
      <w:r>
        <w:rPr>
          <w:color w:val="000000"/>
        </w:rPr>
        <w:t xml:space="preserv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revenue by geographic area based on the publisher’s billing address (in thousands):</w:t>
      </w:r>
    </w:p>
    <w:tbl>
      <w:tblPr>
        <w:tblW w:w="6899" w:type="dxa"/>
        <w:jc w:val="left"/>
        <w:tblInd w:w="0" w:type="dxa"/>
        <w:tblLayout w:type="fixed"/>
        <w:tblCellMar>
          <w:top w:w="28" w:type="dxa"/>
          <w:left w:w="28" w:type="dxa"/>
          <w:bottom w:w="28" w:type="dxa"/>
          <w:right w:w="28" w:type="dxa"/>
        </w:tblCellMar>
      </w:tblPr>
      <w:tblGrid>
        <w:gridCol w:w="544"/>
        <w:gridCol w:w="476"/>
        <w:gridCol w:w="47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long-lived assets, net, which consist primarily of property and equipment and operating lease right-of-use assets, by geographic area (in thousands):</w:t>
      </w:r>
    </w:p>
    <w:tbl>
      <w:tblPr>
        <w:tblW w:w="4006" w:type="dxa"/>
        <w:jc w:val="left"/>
        <w:tblInd w:w="0" w:type="dxa"/>
        <w:tblLayout w:type="fixed"/>
        <w:tblCellMar>
          <w:top w:w="28" w:type="dxa"/>
          <w:left w:w="28" w:type="dxa"/>
          <w:bottom w:w="28" w:type="dxa"/>
          <w:right w:w="28" w:type="dxa"/>
        </w:tblCellMar>
      </w:tblPr>
      <w:tblGrid>
        <w:gridCol w:w="544"/>
        <w:gridCol w:w="476"/>
        <w:gridCol w:w="479"/>
        <w:gridCol w:w="211"/>
        <w:gridCol w:w="721"/>
        <w:gridCol w:w="109"/>
        <w:gridCol w:w="109"/>
        <w:gridCol w:w="109"/>
        <w:gridCol w:w="109"/>
        <w:gridCol w:w="221"/>
        <w:gridCol w:w="757"/>
        <w:gridCol w:w="161"/>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 401(k)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$0.7 million in matching contributions to the 401(k) Plan for each of the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and our expectations concerning the advertising industry.</w:t>
      </w:r>
    </w:p>
    <w:p>
      <w:pPr>
        <w:pStyle w:val="TextBody"/>
        <w:bidi w:val="0"/>
        <w:spacing w:lineRule="auto" w:line="288"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pStyle w:val="TextBody"/>
        <w:bidi w:val="0"/>
        <w:spacing w:lineRule="auto" w:line="288"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2021 included in our Annual Report on Form 10-K filed with the U.S. Securities and Exchange Commission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over-the-top (“OTT”), connected television (“CTV”), and rich media.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our platform efficiently processed approximately 537 billion ad impressions daily, each in a fraction of a second. As of June 30, 2023, we served approximately 1,750 publishers and app developers representing over 94,000 individual domains and apps worldwide on our platform across a diverse group of content verticals such as news, e-commerce, gaming, media, weather, fashion, technology, and more, including many of the leading digital companies such as Yahoo, formerly Verizon Media Group, and News Corp. Our net dollar-based retention rate of 100% for the trailing twelve months ended June 30, 2023 decreased from 130% for the trailing twelve months ended June 30, 2022, primarily due to a decline in run rate from one of our publishers.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mobile (including mobile video) and video (including OTT/CTV) combined comprised approximately 73% of our revenue. We anticipate mobile to continue increasing as a percentage of our total impressions and revenue in the future. We further expect video to constitute an increasingly important component of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Macroeconomic Factors and COVID-19</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Ongoing interest rate increases, foreign currency fluctuation, persistent inflation in the U.S. and other markets globally, recent turmoil in the global banking and finance system and lingering effects of the COVID-19 pandemic, including the global slowdown of economic activity and disruptions to the advertising and marketing activities, may increase the risk of economic volatility and dislocation in the capital or credit markets in the U.S. or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for further discussion of the risks related to the COVID-19 pandemic, inflation, rising interest rates, and foreign currency fluctuations on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Business Highlights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financial highlights of our business performance:</w:t>
      </w:r>
    </w:p>
    <w:tbl>
      <w:tblPr>
        <w:tblW w:w="9030" w:type="dxa"/>
        <w:jc w:val="left"/>
        <w:tblInd w:w="0" w:type="dxa"/>
        <w:tblLayout w:type="fixed"/>
        <w:tblCellMar>
          <w:top w:w="28" w:type="dxa"/>
          <w:left w:w="28" w:type="dxa"/>
          <w:bottom w:w="28" w:type="dxa"/>
          <w:right w:w="28" w:type="dxa"/>
        </w:tblCellMar>
      </w:tblPr>
      <w:tblGrid>
        <w:gridCol w:w="1310"/>
        <w:gridCol w:w="1154"/>
        <w:gridCol w:w="116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income (loss)</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income (loss)</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6"/>
              </w:rPr>
              <w:t>(1)</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cash provided by operating activities</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a definition of Adjusted EBITDA, an explanation of our management’s use of this measure, and a reconciliation of Adjusted EBITDA to net income, see “Non-GAAP Financial Measure.”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(2)Amounts for the three and six months ended June 30, 2023 include a provision for bad debt of $5.7 million relating to a Demand Side Platform (“DSP”) buyer of our platform that filed for Chapter 11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growth and financial performance are dependent on many factors, including those described below.</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Growing access to valuable ad impressions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48.8 trillion and 36.2 trillion for the three months ended June 30, 2023 and 2022,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Monetizing ad impressions for publishers and buyers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over 530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Identifying valuable ad impressions that we can profitably monetize at scale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Increasing revenue from publishers and advertising spend from buyers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twelve-month period (“Prior Period Revenue”). We then calculate the revenue from these same publishers in the current trailing twelve-month period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100% for the trailing twelve months ended June 30, 2023 and 130% for the trailing twelve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Managing industry dynamics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Expanding and managing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Expanding internationally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Managing seasonality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generally accepted accounting principles (“GAAP”), including, in particular, operating income (loss), net cash provided by operating activities, and net income (loss), we believe that Adjusted EBITDA, a non-GAAP measure, is useful in evaluating our operating performance. We define Adjusted EBITDA as net income (loss) adjusted for stock-based compensation expense, depreciation and amortization, unrealized gain, loss or impairment of equity investment, interest income, acquisition-related and other expenses, and provision (benefit) for income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Adjusted EBITDA to net income (loss) for each of the periods indicated:</w:t>
      </w:r>
    </w:p>
    <w:tbl>
      <w:tblPr>
        <w:tblW w:w="8924" w:type="dxa"/>
        <w:jc w:val="left"/>
        <w:tblInd w:w="0" w:type="dxa"/>
        <w:tblLayout w:type="fixed"/>
        <w:tblCellMar>
          <w:top w:w="28" w:type="dxa"/>
          <w:left w:w="28" w:type="dxa"/>
          <w:bottom w:w="28" w:type="dxa"/>
          <w:right w:w="28" w:type="dxa"/>
        </w:tblCellMar>
      </w:tblPr>
      <w:tblGrid>
        <w:gridCol w:w="1325"/>
        <w:gridCol w:w="1162"/>
        <w:gridCol w:w="1172"/>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income (loss)</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equity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Acquisition-related and other expenses </w:t>
            </w:r>
            <w:r>
              <w:rPr>
                <w:rFonts w:ascii="Times New Roman;sans-serif" w:hAnsi="Times New Roman;sans-serif"/>
                <w:b w:val="false"/>
                <w:color w:val="000000"/>
                <w:sz w:val="14"/>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(1)We exclude acquisition-related and other expenses incurred in connection with our acquisition of Martin from Adjusted EBITDA because we do not believe such expenses are reflective of our ongoing core operations. Acquisition-related expenses incurred in connection with our acquisition of Martin include third-party transaction costs. Other expenses incurred in connection with our acquisition of Martin include post-acquisition cash compensation arrangements for certain key acquired employees to be paid ratably over three years following the closing of the acquisition (subject to forfeiture upon termination). For additional information, see Note 7, “Business Combination” to our condensed consolidated financial statements included elsewhere in this Quarterly Report on Form 10-Q.</w:t>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(2)Amounts for the three and six months ended June 30, 2023 include a provision for bad debt of $5.7 million relating to a DSP buyer of our platform that filed for Chapter 11 bankruptcy.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Adjusted EBITDA is used by many investors and securities analysts in their evaluations of companies, it has limitations as an analytical tool, and should not be considered in isolation or as a substitute for analysis of our results of operations as reported under GAAP. Other companies in our industry may calculate Adjusted EBITDA differently than we do, limiting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recognition policies are discussed in more detail under “Critical Accounting Policies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data center co-location costs, depreciation expense related to hardware supporting our platform, amortization expense related to capitalized internal-use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Technology and Development. </w:t>
      </w:r>
      <w:r>
        <w:rPr>
          <w:rFonts w:ascii="Times New Roman;sans-serif" w:hAnsi="Times New Roman;sans-serif"/>
          <w:b w:val="false"/>
          <w:color w:val="000000"/>
          <w:sz w:val="20"/>
        </w:rPr>
        <w:t>Technology and development expenses consist of personnel costs, including salaries, bonuses, stock-based compensation, and employee benefits costs, allocated facilities costs, and professional services. These expenses include costs incurred in the development, implementation and maintenance of internal-use software, including platform and related infrastructure. We expend technology and development costs as incurred, except to the extent that such costs are associated with internal-use software development that qualifies for capitalization. We expect technology and development expenses to generally increase in absolute dollars in future periods.</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expenses consist of personnel costs, including salaries, bonuses, stock-based compensation, and employee 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expenses consist of personnel costs, including salaries, bonuses, stock-based compensation, 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Total Other Income (expense), Net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of interest income, unrealized gain (loss) on equity investment and other income (expense), net. Interest income is generated by investing excess cash into money market accounts and marketable securities. Unrealized gain on equity investment consists of gains on our investment in equity securities, including unrealized gains and losses from market price changes or impairment of securities we continue to hold. Other income (expense), net consists primarily of gains and losses from foreign currency exchange transactions.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consists primarily of federal, state, and foreign income taxes. Our income tax provision (benefit)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differs from the U.S. federal statutory income tax rate due to state taxes, foreign tax rate differences, research tax credits, and stock-based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results of operations data and such data as a percentage of revenue for the periods presented. The period-to-period comparison of results is not necessarily indicative of results for future periods.</w:t>
      </w:r>
    </w:p>
    <w:tbl>
      <w:tblPr>
        <w:tblW w:w="9810" w:type="dxa"/>
        <w:jc w:val="left"/>
        <w:tblInd w:w="0" w:type="dxa"/>
        <w:tblLayout w:type="fixed"/>
        <w:tblCellMar>
          <w:top w:w="28" w:type="dxa"/>
          <w:left w:w="28" w:type="dxa"/>
          <w:bottom w:w="28" w:type="dxa"/>
          <w:right w:w="28" w:type="dxa"/>
        </w:tblCellMar>
      </w:tblPr>
      <w:tblGrid>
        <w:gridCol w:w="1598"/>
        <w:gridCol w:w="1404"/>
        <w:gridCol w:w="140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6"/>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6"/>
              </w:rPr>
              <w:t>(1)</w:t>
            </w:r>
            <w:r>
              <w:rPr>
                <w:rFonts w:ascii="Times New Roman;sans-serif" w:hAnsi="Times New Roman;sans-serif"/>
                <w:b w:val="false"/>
                <w:color w:val="000000"/>
                <w:sz w:val="20"/>
              </w:rPr>
              <w: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(1)Amounts include stock-based compensation expense before tax benefit as follows:</w:t>
      </w:r>
    </w:p>
    <w:tbl>
      <w:tblPr>
        <w:tblW w:w="8492" w:type="dxa"/>
        <w:jc w:val="left"/>
        <w:tblInd w:w="0" w:type="dxa"/>
        <w:tblLayout w:type="fixed"/>
        <w:tblCellMar>
          <w:top w:w="28" w:type="dxa"/>
          <w:left w:w="28" w:type="dxa"/>
          <w:bottom w:w="28" w:type="dxa"/>
          <w:right w:w="28" w:type="dxa"/>
        </w:tblCellMar>
      </w:tblPr>
      <w:tblGrid>
        <w:gridCol w:w="1247"/>
        <w:gridCol w:w="1099"/>
        <w:gridCol w:w="1103"/>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(2)Amounts for the three and six months ended June 30, 2023 include a provision for bad debt of $5.7 million relating to a DSP buyer of our platform that filed for Chapter 11 bankruptcy.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tbl>
      <w:tblPr>
        <w:tblW w:w="8142" w:type="dxa"/>
        <w:jc w:val="left"/>
        <w:tblInd w:w="0" w:type="dxa"/>
        <w:tblLayout w:type="fixed"/>
        <w:tblCellMar>
          <w:top w:w="28" w:type="dxa"/>
          <w:left w:w="28" w:type="dxa"/>
          <w:bottom w:w="28" w:type="dxa"/>
          <w:right w:w="28" w:type="dxa"/>
        </w:tblCellMar>
      </w:tblPr>
      <w:tblGrid>
        <w:gridCol w:w="1090"/>
        <w:gridCol w:w="961"/>
        <w:gridCol w:w="964"/>
        <w:gridCol w:w="233"/>
        <w:gridCol w:w="233"/>
        <w:gridCol w:w="470"/>
        <w:gridCol w:w="189"/>
        <w:gridCol w:w="189"/>
        <w:gridCol w:w="189"/>
        <w:gridCol w:w="233"/>
        <w:gridCol w:w="233"/>
        <w:gridCol w:w="470"/>
        <w:gridCol w:w="109"/>
        <w:gridCol w:w="109"/>
        <w:gridCol w:w="109"/>
        <w:gridCol w:w="233"/>
        <w:gridCol w:w="233"/>
        <w:gridCol w:w="424"/>
        <w:gridCol w:w="170"/>
        <w:gridCol w:w="170"/>
        <w:gridCol w:w="170"/>
        <w:gridCol w:w="233"/>
        <w:gridCol w:w="233"/>
        <w:gridCol w:w="495"/>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percentage of revenue)</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Revenue, Cost of Revenue and Gross Profit</w:t>
      </w:r>
    </w:p>
    <w:tbl>
      <w:tblPr>
        <w:tblW w:w="7057" w:type="dxa"/>
        <w:jc w:val="left"/>
        <w:tblInd w:w="0" w:type="dxa"/>
        <w:tblLayout w:type="fixed"/>
        <w:tblCellMar>
          <w:top w:w="28" w:type="dxa"/>
          <w:left w:w="28" w:type="dxa"/>
          <w:bottom w:w="28" w:type="dxa"/>
          <w:right w:w="28" w:type="dxa"/>
        </w:tblCellMar>
      </w:tblPr>
      <w:tblGrid>
        <w:gridCol w:w="607"/>
        <w:gridCol w:w="535"/>
        <w:gridCol w:w="537"/>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72" w:type="dxa"/>
        <w:jc w:val="left"/>
        <w:tblInd w:w="0" w:type="dxa"/>
        <w:tblLayout w:type="fixed"/>
        <w:tblCellMar>
          <w:top w:w="28" w:type="dxa"/>
          <w:left w:w="28" w:type="dxa"/>
          <w:bottom w:w="28" w:type="dxa"/>
          <w:right w:w="28" w:type="dxa"/>
        </w:tblCellMar>
      </w:tblPr>
      <w:tblGrid>
        <w:gridCol w:w="607"/>
        <w:gridCol w:w="535"/>
        <w:gridCol w:w="537"/>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218"/>
        <w:gridCol w:w="218"/>
        <w:gridCol w:w="54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June 30, 2023 increased by $0.3 million, or —%, compared to the three months ended June 30, 2022. Revenue for the six months ended June 30, 2023 increased by $1.2 million, or 1%. The increase was primarily driven by increased impressions processed on our platform, launches of new offerings, and growth in customer relationships. However, our business was impacted by the macro environment and uncertainty in the markets.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served approximately 1,750 publishers and app developers worldwide on our platform, which represented over 69,000 domains and 25,000 apps in total, compared to approximately 1,550 publishers and app developers worldwide, which represented approximately 63,000 domains and 24,000 apps in total as of June 30, 2022. For purposes of our publisher count, we aggregate multiple business accounts from separate divisions, segments or subsidiaries into a single “master” publisher based on our assessment of the related nature of the group.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may be affected by macroeconomic conditions for the remainder of 2023, and the magnitude of this impact on our future revenues is difficult to predict. We expect incremental disruption in the industry due to the bankruptcy of one of our DSP buyers, which is likely to negatively impact our revenues in the near term; however, in the long term, we do not expect this to have a material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$6.1 million for the three months ended June 30, 2023 compared to the three months ended June 30, 2022, primarily due to a $2.9 million increase in depreciation of data center equipment and amortization of internal-use software, a $2.2 million increase in data centers costs, a $0.4 million increase in support and maintenance costs, and a $0.4 million increase in personnel costs as headcount increased. Overall, our cost of revenue per impression processed for the three months ended June 30, 2023 decreased by approximately 2% compared to the three months ended June 30, 2022.</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$12.0 million for the six months ended June 30, 2023 compared to the six months ended June 30, 2022 primarily due to a $5.7 million increase in depreciation of data center equipment and amortization of internal use software, a $4.0 million increase in data center costs, a $0.8 million increase in support and maintenance costs, a $0.8 million increase in amortization of acquired intangible assets, and a $0.8 million increase in personnel costs as headcount increased.</w:t>
      </w:r>
    </w:p>
    <w:p>
      <w:pPr>
        <w:pStyle w:val="TextBody"/>
        <w:bidi w:val="0"/>
        <w:spacing w:lineRule="auto" w:line="288" w:before="120" w:after="283"/>
        <w:ind w:left="0" w:right="0" w:firstLine="34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margin of 60% for the three months ended June 30, 2023 decreased compared to 70% for the three months ended June 30, 2022, and our gross margin of 59% for the six months ended June 30, 2023 decreased compared to 69% for the six months ended June 30, 2022 primarily due to infrastructure investments from capacity expansion and engineering projects.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revenue to be higher in 2023 compared to 2022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Technology and Development</w:t>
      </w:r>
    </w:p>
    <w:tbl>
      <w:tblPr>
        <w:tblW w:w="7593" w:type="dxa"/>
        <w:jc w:val="left"/>
        <w:tblInd w:w="0" w:type="dxa"/>
        <w:tblLayout w:type="fixed"/>
        <w:tblCellMar>
          <w:top w:w="28" w:type="dxa"/>
          <w:left w:w="28" w:type="dxa"/>
          <w:bottom w:w="28" w:type="dxa"/>
          <w:right w:w="28" w:type="dxa"/>
        </w:tblCellMar>
      </w:tblPr>
      <w:tblGrid>
        <w:gridCol w:w="930"/>
        <w:gridCol w:w="815"/>
        <w:gridCol w:w="819"/>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186"/>
        <w:gridCol w:w="186"/>
        <w:gridCol w:w="54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98" w:type="dxa"/>
        <w:jc w:val="left"/>
        <w:tblInd w:w="0" w:type="dxa"/>
        <w:tblLayout w:type="fixed"/>
        <w:tblCellMar>
          <w:top w:w="28" w:type="dxa"/>
          <w:left w:w="28" w:type="dxa"/>
          <w:bottom w:w="28" w:type="dxa"/>
          <w:right w:w="28" w:type="dxa"/>
        </w:tblCellMar>
      </w:tblPr>
      <w:tblGrid>
        <w:gridCol w:w="930"/>
        <w:gridCol w:w="815"/>
        <w:gridCol w:w="819"/>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186"/>
        <w:gridCol w:w="186"/>
        <w:gridCol w:w="54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technology and development costs for the three months ended June 30, 2023 was primarily due to an increase of $3.2 million in personnel costs as headcount increased, and a $0.3 million increase in facilities costs, partially offset by an increase of $2.0 million related to the capitalization of internal-use software.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technology and development costs for the six months ended June 30, 2023 was primarily due to an increase of $6.4 million in personnel costs as headcount increased, and a $0.7 million increase in facilities costs, partially offset by an increase of $4.1 million related to the capitalization of internal-use software.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technology and development expenses to continue to increase in 2023 compared to 2022 in absolute dollars, primarily due to investment in technological innovation and additional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6993" w:type="dxa"/>
        <w:jc w:val="left"/>
        <w:tblInd w:w="0" w:type="dxa"/>
        <w:tblLayout w:type="fixed"/>
        <w:tblCellMar>
          <w:top w:w="28" w:type="dxa"/>
          <w:left w:w="28" w:type="dxa"/>
          <w:bottom w:w="28" w:type="dxa"/>
          <w:right w:w="28" w:type="dxa"/>
        </w:tblCellMar>
      </w:tblPr>
      <w:tblGrid>
        <w:gridCol w:w="634"/>
        <w:gridCol w:w="558"/>
        <w:gridCol w:w="56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93" w:type="dxa"/>
        <w:jc w:val="left"/>
        <w:tblInd w:w="0" w:type="dxa"/>
        <w:tblLayout w:type="fixed"/>
        <w:tblCellMar>
          <w:top w:w="28" w:type="dxa"/>
          <w:left w:w="28" w:type="dxa"/>
          <w:bottom w:w="28" w:type="dxa"/>
          <w:right w:w="28" w:type="dxa"/>
        </w:tblCellMar>
      </w:tblPr>
      <w:tblGrid>
        <w:gridCol w:w="634"/>
        <w:gridCol w:w="558"/>
        <w:gridCol w:w="56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for the three months ended June 30, 2023 increased primarily due to a $1.7 million increase in personnel costs.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for the six months ended June 30, 2023 increased primarily due to a $4.9 million increase in personnel costs, a $2.1 million increase in travel expenses, and a $0.9 million increase in amortization of acquired intangible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increase in 2023 compared to 2022 in absolute dollars primarily due to additional headcount investment and marketing programs.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548" w:type="dxa"/>
        <w:jc w:val="left"/>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48" w:type="dxa"/>
        <w:jc w:val="left"/>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for the three months ended June 30, 2023 primarily due to a $5.7 million increase in provision for bad debt relating to a DSP buyer of our platform that filed for Chapter 11 bankruptcy, and a $1.9 million increase in personnel costs including higher stock-based compensation costs.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for the six months ended June 30, 2023 primarily due to a $5.7 million increase in provision for bad debt relating to a DSP buyer of our platform that filed for Chapter 11 bankruptcy, and a $3.6 million increase in personnel costs including higher stock-based compensation costs.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increase in 2023 compared to 2022 in absolute dollars primarily due to higher compensation.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6226" w:type="dxa"/>
        <w:jc w:val="left"/>
        <w:tblInd w:w="0" w:type="dxa"/>
        <w:tblLayout w:type="fixed"/>
        <w:tblCellMar>
          <w:top w:w="28" w:type="dxa"/>
          <w:left w:w="28" w:type="dxa"/>
          <w:bottom w:w="28" w:type="dxa"/>
          <w:right w:w="28" w:type="dxa"/>
        </w:tblCellMar>
      </w:tblPr>
      <w:tblGrid>
        <w:gridCol w:w="494"/>
        <w:gridCol w:w="433"/>
        <w:gridCol w:w="437"/>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33"/>
        <w:gridCol w:w="233"/>
        <w:gridCol w:w="54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033" w:type="dxa"/>
        <w:jc w:val="left"/>
        <w:tblInd w:w="0" w:type="dxa"/>
        <w:tblLayout w:type="fixed"/>
        <w:tblCellMar>
          <w:top w:w="28" w:type="dxa"/>
          <w:left w:w="28" w:type="dxa"/>
          <w:bottom w:w="28" w:type="dxa"/>
          <w:right w:w="28" w:type="dxa"/>
        </w:tblCellMar>
      </w:tblPr>
      <w:tblGrid>
        <w:gridCol w:w="494"/>
        <w:gridCol w:w="433"/>
        <w:gridCol w:w="437"/>
        <w:gridCol w:w="213"/>
        <w:gridCol w:w="622"/>
        <w:gridCol w:w="110"/>
        <w:gridCol w:w="110"/>
        <w:gridCol w:w="110"/>
        <w:gridCol w:w="110"/>
        <w:gridCol w:w="213"/>
        <w:gridCol w:w="471"/>
        <w:gridCol w:w="110"/>
        <w:gridCol w:w="109"/>
        <w:gridCol w:w="109"/>
        <w:gridCol w:w="109"/>
        <w:gridCol w:w="211"/>
        <w:gridCol w:w="616"/>
        <w:gridCol w:w="109"/>
        <w:gridCol w:w="109"/>
        <w:gridCol w:w="109"/>
        <w:gridCol w:w="109"/>
        <w:gridCol w:w="233"/>
        <w:gridCol w:w="233"/>
        <w:gridCol w:w="54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for the three and six months ended June 30, 2023 compared to the prior year period due to the increase in interest rates.</w:t>
      </w:r>
    </w:p>
    <w:p>
      <w:pPr>
        <w:pStyle w:val="TextBody"/>
        <w:bidi w:val="0"/>
        <w:spacing w:before="120" w:after="283"/>
        <w:ind w:left="0" w:right="0" w:firstLine="360"/>
        <w:jc w:val="both"/>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7077" w:type="dxa"/>
        <w:jc w:val="left"/>
        <w:tblInd w:w="0" w:type="dxa"/>
        <w:tblLayout w:type="fixed"/>
        <w:tblCellMar>
          <w:top w:w="28" w:type="dxa"/>
          <w:left w:w="28" w:type="dxa"/>
          <w:bottom w:w="28" w:type="dxa"/>
          <w:right w:w="28" w:type="dxa"/>
        </w:tblCellMar>
      </w:tblPr>
      <w:tblGrid>
        <w:gridCol w:w="863"/>
        <w:gridCol w:w="760"/>
        <w:gridCol w:w="762"/>
        <w:gridCol w:w="233"/>
        <w:gridCol w:w="598"/>
        <w:gridCol w:w="120"/>
        <w:gridCol w:w="120"/>
        <w:gridCol w:w="120"/>
        <w:gridCol w:w="120"/>
        <w:gridCol w:w="233"/>
        <w:gridCol w:w="598"/>
        <w:gridCol w:w="120"/>
        <w:gridCol w:w="109"/>
        <w:gridCol w:w="109"/>
        <w:gridCol w:w="109"/>
        <w:gridCol w:w="213"/>
        <w:gridCol w:w="471"/>
        <w:gridCol w:w="112"/>
        <w:gridCol w:w="109"/>
        <w:gridCol w:w="109"/>
        <w:gridCol w:w="109"/>
        <w:gridCol w:w="218"/>
        <w:gridCol w:w="218"/>
        <w:gridCol w:w="54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7258" w:type="dxa"/>
        <w:jc w:val="left"/>
        <w:tblInd w:w="0" w:type="dxa"/>
        <w:tblLayout w:type="fixed"/>
        <w:tblCellMar>
          <w:top w:w="28" w:type="dxa"/>
          <w:left w:w="28" w:type="dxa"/>
          <w:bottom w:w="28" w:type="dxa"/>
          <w:right w:w="28" w:type="dxa"/>
        </w:tblCellMar>
      </w:tblPr>
      <w:tblGrid>
        <w:gridCol w:w="863"/>
        <w:gridCol w:w="760"/>
        <w:gridCol w:w="762"/>
        <w:gridCol w:w="211"/>
        <w:gridCol w:w="541"/>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54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for the three and six months ended June 30, 2023 compared to the prior year period due to currency fluctuations.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tbl>
      <w:tblPr>
        <w:tblW w:w="7922" w:type="dxa"/>
        <w:jc w:val="left"/>
        <w:tblInd w:w="0" w:type="dxa"/>
        <w:tblLayout w:type="fixed"/>
        <w:tblCellMar>
          <w:top w:w="28" w:type="dxa"/>
          <w:left w:w="28" w:type="dxa"/>
          <w:bottom w:w="28" w:type="dxa"/>
          <w:right w:w="28" w:type="dxa"/>
        </w:tblCellMar>
      </w:tblPr>
      <w:tblGrid>
        <w:gridCol w:w="1091"/>
        <w:gridCol w:w="960"/>
        <w:gridCol w:w="964"/>
        <w:gridCol w:w="233"/>
        <w:gridCol w:w="515"/>
        <w:gridCol w:w="120"/>
        <w:gridCol w:w="120"/>
        <w:gridCol w:w="120"/>
        <w:gridCol w:w="120"/>
        <w:gridCol w:w="233"/>
        <w:gridCol w:w="681"/>
        <w:gridCol w:w="120"/>
        <w:gridCol w:w="109"/>
        <w:gridCol w:w="109"/>
        <w:gridCol w:w="109"/>
        <w:gridCol w:w="211"/>
        <w:gridCol w:w="691"/>
        <w:gridCol w:w="109"/>
        <w:gridCol w:w="109"/>
        <w:gridCol w:w="109"/>
        <w:gridCol w:w="109"/>
        <w:gridCol w:w="218"/>
        <w:gridCol w:w="218"/>
        <w:gridCol w:w="544"/>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038" w:type="dxa"/>
        <w:jc w:val="left"/>
        <w:tblInd w:w="0" w:type="dxa"/>
        <w:tblLayout w:type="fixed"/>
        <w:tblCellMar>
          <w:top w:w="28" w:type="dxa"/>
          <w:left w:w="28" w:type="dxa"/>
          <w:bottom w:w="28" w:type="dxa"/>
          <w:right w:w="28" w:type="dxa"/>
        </w:tblCellMar>
      </w:tblPr>
      <w:tblGrid>
        <w:gridCol w:w="1091"/>
        <w:gridCol w:w="960"/>
        <w:gridCol w:w="964"/>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544"/>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effective tax rate for the three months ended June 30, 2023 of (11)% and the federal statutory income tax rate of 21% was related to the tax benefit from foreign-derived intangible income (FDII), foreign tax credit and research tax credit partially offset by an increase in nondeductible stock-based compensation, global intangible low-taxed income (GILTI), and Section 162(m) limitation on the tax deductibility of officers compensation. The effective income tax rate was 20% for the three months ended June 30, 2022 due to an increase in FDII deduction, benefit for foreign, federal and state tax credits, partially offset by nondeductible stock-based compensation, Section 162(m) limitation, GILTI inclusion, and a higher tax rate in certain foreign countries where the Company operates.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effective tax rate for the six months ended June 30, 2023 of 20% and the federal statutory income tax rate of 21% was related to the tax benefit from foreign-derived intangible income (FDII), foreign tax credit and research tax credit partially offset by an increase in nondeductible stock-based compensation, global intangible low-taxed income (GILTI), and Section 162(m) limitation on the tax deductibility of officers compensation. The effective income tax rate was 21% for the six months ended June 30, 2022 was primarily due to an increase in FDII deduction, benefit for foreign, federal and state tax credits, partially offset by nondeductible stock-based compensation, Section 162(m) limitation, GILTI inclusion, and a higher tax rate in certain foreign countries where the Company operates.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and capital expenditures primarily through utilization of cash generated from operations as well as sales of equity securities. As of June 30, 2023, we had cash, cash equivalents, and marketable securities of $170.9 million and net working capital, consisting of current assets less current liabilities, of $174.5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uses of cash are funding our operations and other working capital requirements.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 As of June 30, 2023, our material cash requirements included the contractual commitments set forth under “Contractual Obligations and Future Cash Requirements.”</w:t>
      </w:r>
      <w:r>
        <w:rPr>
          <w:color w:val="000000"/>
        </w:rPr>
        <w:t xml:space="preserv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the 2023 Repurchase Program. During the six months ended June 30, 2023, we repurchased 1,586,196 shares of Class A common stock under the 2023 Repurchase Program for an aggregate purchase price of $23.5 million. As of June 30, 2023, $51.5 million remained available for future share repurchases under the 2023 Repurchase Program. The U.S. Inflation Reduction Act of 2022 was enacted on August 16, 2022 and requires a one percent excise tax on certain share repurchases in excess of shares issued for employee compensation made after December 31, 2022. We do not expect this provision to have a material effect on our consolidated financial statements.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Senior Secured Credit Facilities Credit Agreement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we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 In connection with the entry into the Credit Agreement, our previous loan and security agreement, as amended, was terminated.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a revolving credit facility in an aggregate principal amount of $110.0 million (the “Revolving Credit Facility”), including a $25.0 million letter of credit sub-facility and a $25.0 million swingline sub-facility. Our obligations under the Revolving Credit Facility and the letter of credit sub-facility (described in Note 9 to our condensed consolidated financial statements included elsewhere in this Quarterly Report on Form 10-Q) with SVB are secured by substantially all our assets excluding our intellectual property. We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accrue interest at rates equal, at our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We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 The Credit Agreement contains customary events of default. Upon the occurrence and during the continuance of an event of default, the Lenders may declare the outstanding advances and all other obligations under the Credit Agreement immediately due and payable. We may use amounts borrowed under the Credit Agreement for general corporate purposes or working capital financing. We may borrow additional amounts under the Credit Agreement from time to time as opportunities and needs arise.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848" w:type="dxa"/>
        <w:jc w:val="left"/>
        <w:tblInd w:w="0" w:type="dxa"/>
        <w:tblLayout w:type="fixed"/>
        <w:tblCellMar>
          <w:top w:w="28" w:type="dxa"/>
          <w:left w:w="28" w:type="dxa"/>
          <w:bottom w:w="28" w:type="dxa"/>
          <w:right w:w="28" w:type="dxa"/>
        </w:tblCellMar>
      </w:tblPr>
      <w:tblGrid>
        <w:gridCol w:w="1563"/>
        <w:gridCol w:w="1376"/>
        <w:gridCol w:w="1380"/>
        <w:gridCol w:w="211"/>
        <w:gridCol w:w="721"/>
        <w:gridCol w:w="109"/>
        <w:gridCol w:w="109"/>
        <w:gridCol w:w="109"/>
        <w:gridCol w:w="109"/>
        <w:gridCol w:w="211"/>
        <w:gridCol w:w="79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provided by operating activities of $28.6 million resulted primarily from adjustments for non-cash expenses of $29.8 million, including $22.3 million for depreciation and amortization and $14.3 million for stock-based compensation, provision for bad debt of $5.7 million relating to a DSP buyer of our platform that filed for Chapter 11 bankruptcy, a decrease in accounts receivable of $41.7 million, offset by a net loss of $11.6 million, and a decrease in accounts payable of $30.1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net cash provided by operating activities of $39.8 million resulted primarily from net income of $12.6 million, adjustments for non-cash expenses of $25.3 million, including $14.5 million for depreciation and amortization and $10.5 million for stock-based compensation, and a decrease in accounts receivable of $22.9 million, partially offset by a decrease in accounts payable of $13.7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provided by investing activities of $6.2 million was primarily due to sales of marketable securities prior to maturity of $18.9 million, and decreases due to $2.6 million in purchases of property and equipment (primarily data center infrastructure), and $9.9 million of investments in capitalized internal-use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we used $73.6 million of cash in investing activities, consisting of $12.4 million in purchases of property and equipment (primarily data center infrastructure), $6.8 million of investments in capitalized internal-use software and a net increase in investments of marketable securities of $54.4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financing activities of $21.6 million was primarily due to purchases of treasury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net cash provided by financing activities of $3.2 million was primarily due to proceeds from our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Future Cash Requirements </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contractual obligations consist of non-cancelable leases for our various facilities. In certain cases, the terms of the lease agreements provide for rental payments that increase over time.</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contractual obligations disclosed in our Annual Report on Form 10-K for the fiscal year ended December 31, 2022.</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$4.4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Besides the adoption of new accounting pronouncements and update to our allowance for credit losses as included within "Note 2 – Basis of Presentation and Summary of Significant Accounting Policies" to the condensed consolidated financial statements in this report, there have been no significant changes in our critical accounting policies and estimates from those disclosed in our audited consolidated financial statements and notes thereto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These risks primarily include:</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$105.5 million and marketable securities of $65.4 million as of June 30, 2023, which consisted of bank deposits, money market accounts, time deposits,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June 30, 2023.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Currency Exchange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$0.9 million in our operating loss for the six months ended June 30, 2023. A hypothetical 10% change in the U.S. Dollar to British Pound exchange rate could result in a change of $0.9 million in our operating loss for the six months ended June 30, 2023.</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June 30, 2023.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quarter ended June 30, 2023 that has materially affected, or is reasonably likely to materially affect, our internal control over financial reporting.</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9, “Commitments and Contingencies,” to our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 foregoing, our business is subject to a number of risks and uncertainties, including those risks discussed at length below. These risks include, among others, the following, which we consider our most material risks: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revenue and results of operations are highly dependent on the overall demand for advertising.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results of operations may fluctuate significantly and may not meet our expectations or those of securities analysts and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must scale our platform infrastructure to support anticipated growth and transaction volume. If we fail to do so, we may limit our ability to process ad impressions, and we may lose revenue.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recently completed acquisition of ConsultMates, Inc. (dba “Martin”) presents risks and we must successfully integrate the Martin business to realize the strategic and financial goals that we currently anticipate.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efforts to offer private marketplace solutions may not be successful, or we may not be able to scale our platform to meet this demand in a timely manner, and, as a result, we may not realize a return from our investments in that area.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publishers, buyers, and data providers do not obtain necessary and requisite consents from consumers for us to process their personal data, we could be subject to fines and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digital advertising industry is intensely competitive, and if we do not effectively compete against current and future competitors, our business, results of operations, and financial condition could be harmed.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pressure may reduce our revenue per impression.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Seasonal fluctuations or market changes in digital advertising activity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ad formats and digital device types develop in ways that prevent advertisements from being delivered to consumers, our business, results of operations, and financial condition generally, will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fail to detect or prevent fraud on our platform, or malware intrusion into the systems or devices of our publishers and their consumers, publishers could lose confidence in our platform, and we could face legal claims.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success depends on our ability to retain key members of our management team, and on our ability to hire, train, retain, and motivate new employees.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subject to payment-related risks if demand side platform (“DSP”) buyers dispute or do not pay their invoices, and any decreases in payments or in our overall take rate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international operations subject us to additional costs and risks, and our continued international expansion may not be successful.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use and reliance upon technology and development resources in India may expose us to unanticipated costs and liabilities, which could affect our ability to realize cost savings from our operations in India.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depend on third-party data centers, the disruption of which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Platform outages or disruptions, including due to cyberattacks or our failure to maintain adequate security and supporting infrastructure,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software platform could be susceptible to errors, defects, or unintended performance problems that could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continued business success depends upon our ability to offer high-quality inventory with appropriate viewability capabilities.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are subject to constantly evolving laws, regulations and industry requirements related to data privacy, data protection, information security, and consumer protection across the markets we operate in.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fail to maintain effective internal controls, our ability to produce accurate financial statements and other disclosures on a timely basis could be impaired.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charter documents and Delaware law could discourage takeover attempts and other corporate governance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Results of Operations and Growth</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revenue and results of operations are highly dependent on the overall demand for advertising.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More recently, macroeconomic factors including inflation, rising interest rates and softening demand in certain verticals have caused some advertisers to reduce their advertising budgets. Such macroeconomic factors, as well as broader economic downturns, recessions, inflation, further changes in interest rates or foreign exchange rates or any supply chain disruptions, changes in the tax treatment of advertising expenses, instability in the global banking system or general uncertainty, in North America, Europe, and Asia, where we do most of our business, could adversely affect our business, results of operations, and financial condition. In addition, the conflict in Ukraine could cause unpredictable economic effects in Europe, including potentially softening general consumer demand. Reductions in overall advertising spending as a result of these factors could make it difficult to predict our revenue and could adversely affect our business, results of operations, and financial condition.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relatively small number of premium publishers have historically accounted for a significant portion of the ad impressions sold on our platform, as well as a significant portion of our revenue from publishers, including a relatively small number of channel partners. In particular, for the six months ended June 30, 2023 and 2022, 10% and 13%, respectively, of our revenue was derived from ad impressions sold on our platform from our largest publisher, Yahoo. We have no minimum commitments from publishers, so the amount, quality, and cost of ad impressions available to us can change at any time, and we cannot assure you that we will have access to a consistent volume or quality of ad impressions at a reasonable cost, or at all. We expect to depend upon a relatively small number of premium publishers and channel partners for the foreseeable future. To support our continued growth, we will seek to add additional publishers to our platform, and to expand current utilization with our existing publishers.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limited number of large DSPs – The Trade Desk and Google DV360, in particular – account for a significant portion of the ad impressions purchased on our platform. We expect to depend upon these DSPs for a large percentage of impressions purchased for the foreseeable future. 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Any disruptions in our relationships with DSPs, agencies or advertisers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 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may fluctuate significantly and may not meet our expectations or those of securities analysts and investors.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an evolving industry with ever-changing customer needs,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substantial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demand and pricing for ad impressions sold on our platform;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access to valuable ad impressions from publishers;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developing, maintaining, and expanding relationships with publishers, DSPs, agencies, and advertisers;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seasonality in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innovating and developing new solutions that are adopted by and meet the needs of publishers, DSPs, agencies, and advertisers;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competing against companies with a larger customer base or greater financial or technical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structure of the buying and selling of ad impressions;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pricing policies of publishers and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responding to evolving industry standards and government regulations that impact our business, particularly in the areas of data protection and consumer privacy;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demand due to changes in the macroeconomic environment, including as a result of an economic downturn, recession, inflation, changes in interest rates or foreign exchange rates, disruptions to supply chains, instability in the global banking system or otherwise;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further expanding our business internationally;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recruiting, integrating, and retaining qualified and motivated employees, particularly engineers.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one or more of the factors above may result in significant fluctuations in our results of operations. You should not rely on our past results as an indicator of our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make the right investment decisions in our platform, or if we fail to innovate and develop new solutions that are adopted by publishers, we may not attract and retain publishers, which could adversely affect our business, results of operations, and financial condition.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must scale our platform infrastructure to support anticipated growth and transaction volume. If we fail to do so, we may limit our ability to process ad impressions, and we may lose 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recently completed acquisition of ConsultMates, Inc. (dba “Martin”) presents risks and we must successfully integrate the Martin business to realize the strategic and financial goals that we currently anticipate.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we acquired Martin to further augment our SPO capabilities. We have limited experience with such acquisitions, and risks we may face in connection with the integration of the Martin business into our business and operations include:</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we may not realize the revenue or other economic benefits and synergies we expect to receive from the transaction;</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we may have difficulties integrating and managing Martin’s SPO products and technology, as well as business relationships, or retaining key personnel from Martin;</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the acquisition may not further our business strategy as we expected or we may otherwise not realize our expected return on investment, which could adversely affect our business or operating results;</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 xml:space="preserve">Martin’s existing privacy and information security systems and related infrastructure may require additional investments of time and resources in order to scale and, as necessary, to integrate into our platform or to be developed to appropriate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Martin’s management and compliance functions and processes may require significant investments of time and resources in order to support its current and anticipated future product offerings, to scale and, as necessary, to integrate into our platform; and</w:t>
      </w:r>
    </w:p>
    <w:p>
      <w:pPr>
        <w:pStyle w:val="TextBody"/>
        <w:bidi w:val="0"/>
        <w:spacing w:lineRule="auto" w:line="288" w:before="80" w:after="283"/>
        <w:ind w:left="0" w:right="0" w:hanging="360"/>
        <w:jc w:val="both"/>
        <w:rPr/>
      </w:pPr>
      <w:r>
        <w:rPr>
          <w:color w:val="000000"/>
        </w:rPr>
        <w:t>•</w:t>
      </w:r>
      <w:r>
        <w:rPr>
          <w:rFonts w:ascii="Times New Roman;sans-serif" w:hAnsi="Times New Roman;sans-serif"/>
          <w:b w:val="false"/>
          <w:color w:val="000000"/>
          <w:sz w:val="20"/>
        </w:rPr>
        <w:t>Our operating results or financial condition may be adversely impacted by (i) claims or liabilities (including tax liabilities) related to Martin’s business and the Martin acquisition including, among others, claims from U.S. or international regulatory or other governmental agencies, terminated employees, current or former customers or business partners, or other third parties; (ii) pre-existing contractual relationships of Martin that we would not have otherwise entered into, the termination or modification of which may be costly or disruptive to our business; (iii) unfavorable accounting treatment as a result of Martin’s practices; and (iv) intellectual property claims or disputes against Martin.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efforts to offer private marketplace solutions may not be successful, or we may not be able to scale our platform to meet this demand in a timely manner, and, as a result, we may not realize a return from our investments in that area.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Related to Data Collection and the Use of Collected Data</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“cookies,” or small text files placed on consumer devices when an Internet browser is used, as well as mobile device identifiers, to gather data that enables our platform to be more effective. Our cookies and mobile device identifiers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identifiers. We use data from cookies, mobile device identifiers, and other tracking technologies to help advertisers decide whether to bid on, and how to price, an ad impression in a certain location, at a given time, for a particular consumer.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Without cookies, mobile device identifiers, and other tracking technology data, transactions processed through our platform would be executed with less insight into consumer activity, reducing the precision of advertisers' decisions about which impressions to purchase for an advertising campaign. This could make placement identifiers advertising through our platform less valuable, and harm our revenue. If our ability to use cookies, mobile device identifiers or other tracking technologies is limited, we may be required to develop or obtain additional applications and technologies to compensate for the lack of cookies, mobile device identifiers and other tracking technology data, which could be time consuming or costly to develop, less effective, and subject to additional regulation.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Some prominent technology companies, including Google, have also announced intentions to discontinue the use of cookies, and to develop alternative methods and mechanisms for tracking consumers.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 Many applications and other devices also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it could reduce the volume or effectiveness and value of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Evolving and conflicting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publishers, buyers, and data providers do not obtain necessary and requisite consents from consumers for us to process their personal data, we could be subject to fines and liability.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Related to the Advertising Industry and Competition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digital advertising industry is intensely competitive, and if we do not effectively compete against current and future competitors, our business, results of operations, and financial condition could be adversely affected.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 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requests from publishers and buyers for discounts, fee concessions, rebates, or other forms of consideration,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competitors are also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 pressure may reduce our revenue per impression.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may be affected by market changes, new demands by publishers and buyers, new solutions, and competitive pressure. Our solutions may be priced too high or too low, or our pricing approaches may not be accepted, any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Seasonal fluctuations or market changes in digital advertising activity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inflation, changes in foreign exchange rates or interest rates, or general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ad formats and digital device types develop in ways that prevent advertisements from being delivered to consumers, our business, results of operations, and financial condition may be adversely affected.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our business, results of operations, and financial condition could be adversely affected.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we fail to detect or prevent fraud on our platform, or malware intrusion into the systems or devices of our publishers and their consumers, publishers could lose confidence in our platform, and we could face legal claims.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continuously assess the quality and performance of advertising on publishers’ digital media properties, it may be difficult to detect fraudulent or malicious activity.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success depends on our ability to retain key members of our management team, and on our ability to hire, train, retain, and motivate new employees.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 India, and New York, where we maintain offices. As we expand and change, in particular across multiple geographies or following acquisitions, it may be difficult to preserve our corporate culture, which could reduce our ability to innovate, create, and operate effectively.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if demand side platform (“DSP”) buyers dispute or do not pay their invoices, and any decreases in payments or in our overall take rate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may be exacerbated by the overall market and economic volatility, inflation, changes in foreign exchange rates or interest rates, disruption to supply chains, and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In addition, in June 2023, one of our DSP buyers filed for Chapter 11 bankruptcy, which led us to record bad debt expense of $5.7 million. While our contracts generally do not contain such exposure, there are certain agreements under which we may be responsible for the whole amount of contracted spending, whether or not ultimately paid by the buyer.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prolonged economic downturn may lead additional buyers to slow or default on payments or in some cases seek bankruptcy protection. We cannot assure you that we will not experience bad debt in the future, and write-offs for bad debt could adversely affect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international operations subject us to additional costs and risks, and our continued international expansion may not be successful.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 but are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and costs associated with maintaining effective controls at foreign locations;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adapting our platform and solutions to non-U.S. publishers’ preferences and customs;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regulatory and other delays and difficulties in setting up foreign operations, including staffing difficulties;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anti-bribery laws and regulations, export and import control and economic sanctions, laws and regulations;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foreign data privacy 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economic and political instability in some countries, including as a result of the conflict in Ukraine;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the laws of numerous taxing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use and reliance upon technology and development resources in India may expose us to unanticipated costs and liabilities, which could affect our ability to realize cost savings from our operations in India.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difficulty hiring and retaining engineering and management resources due to intense competition for such resources and resulting wage inflation;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heightened exposure to changes in economic, health, security, and political conditions in India;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fluctuations in currency exchange rates and tax compliance in India.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depend on third-party data centers, the disruption of which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Platform outages or disruptions, including due to cyberattacks or our failure to maintain adequate security and supporting infrastructure,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software platform could be susceptible to errors, defects, or unintended performance problems that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continued business success depends upon our ability to offer high-quality inventory with appropriate viewability capabilities.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in integrating the operations, technologies, product or service offerings, administrative systems, and personnel of acquired businesses;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ineffectiveness or incompatibility of acquired technologies or solutions;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potential loss of key employees of the acquired business;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inability to maintain key business relationships and reputation of the acquired business;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litigation arising from the acquisition or the activities of the acquired business;</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failure to generate the expected financial results related to an acquisition in a timely manner or at all;</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failure to accurately forecast the impact of an acquisition; and</w:t>
      </w:r>
    </w:p>
    <w:p>
      <w:pPr>
        <w:pStyle w:val="TextBody"/>
        <w:bidi w:val="0"/>
        <w:spacing w:lineRule="auto" w:line="288" w:before="120" w:after="283"/>
        <w:ind w:left="0" w:right="0" w:firstLine="360"/>
        <w:jc w:val="both"/>
        <w:rPr/>
      </w:pPr>
      <w:r>
        <w:rPr>
          <w:color w:val="000000"/>
        </w:rPr>
        <w:t>•</w:t>
      </w:r>
      <w:r>
        <w:rPr>
          <w:rFonts w:ascii="Times New Roman;sans-serif" w:hAnsi="Times New Roman;sans-serif"/>
          <w:b w:val="false"/>
          <w:color w:val="000000"/>
          <w:sz w:val="20"/>
        </w:rPr>
        <w:t>implementation or remediation of effective controls, procedures, and policies for acquired businesses.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insurance policies, may not cover, such claims and losses.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our board of directors authorized and approved the 2023 Repurchase Program pursuant to which we may repurchase up to $75.0 million in aggregate of shares of our Class A common stock, with the authorization to expire on December 31, 2024. Although our board of directors has authorized the 2023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war in Ukraine and the ongoing COVID-19 pandemic. The 2023 Repurchase Program may be modified, suspended, or terminated at any time, and we cannot guarantee that the 2023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the risk of catastrophic events such as pandemics, earthquakes, flooding, fire, and power outages, and to interruption by man-made problems such as acts of war and terrorism.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economic or political instability caused by the conflict in Ukraine, or international responses thereto, could adversely affect our business, results of operations, and financial condition. Furthermore, acts of 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adversely affect our business, results of operations, and financial condition.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use artificial intelligence in our business, and challenges with properly managing its use could result in reputational harm, competitive harm, and legal liability, and adversely affect our results of operations.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incorporate artificial intelligence (“AI”) solutions into our specialized cloud software, including audience solutions, and these applications may become more important in our operations over time. Our competitors or other third parties may incorporate AI into their products and offerings more quickly or more successfully than us, which could impair our ability to compete effectively and adversely affect our results of operations. Additionally, if the content, analyses, or recommendations that AI applications assist in producing are or are alleged to be inaccurate, deficient, or biased, our business, financial condition, and results of operations may be adversely affected. The use of AI applications has resulted in, and may in the future result in, cybersecurity incidents that implicate the sensitive data of customers analyzed within such applications. Any such cybersecurity incidents related to our use of AI applications for analysis of sensitive data could adversely affect our reputation and results of operations. AI also presents emerging ethical issues and if our use of AI becomes controversial, we may experience brand or reputational harm, competitive harm, or legal liability. The rapid evolution of AI, including potential government regulation of AI and it various uses, will require significant resources to develop, test and maintain our intelligence cloud platform, offerings, services, and features to help us implement AI ethically in order to minimize unintended, harmful impact.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Regulations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constantly evolving laws, regulations and industry requirements related to data privacy, data protection, information security, and consumer protection across the markets we operate in.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 California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 CCPA is enforceable by the California Attorney General and there is also a private right of action relating to certain data security incidents. On January 1, 2023, a new privacy law, the California Privacy Rights Act (the “CPRA”) amended and expanded the CCPA. The CPRA generally requires covered businesses to, among other things, provide new disclosures to California consumers, businesses and employees and affords California consumers, businesses and employees, new privacy rights such as the ability to opt-out of certain sales of personal information and expanded rights to access and require deletion of their personal information, opt-out of certain personal information sharing, and receive detailed information about how their personal information is collected, used and shared. The CPRA provides for civil penalties for violations, as well as a private right of action for security breaches that may increase security breach litigation.</w:t>
      </w:r>
      <w:r>
        <w:rPr>
          <w:color w:val="000000"/>
        </w:rPr>
        <w:t xml:space="preserve"> </w:t>
      </w:r>
      <w:r>
        <w:rPr>
          <w:rFonts w:ascii="Times New Roman;sans-serif" w:hAnsi="Times New Roman;sans-serif"/>
          <w:b w:val="false"/>
          <w:color w:val="000000"/>
          <w:sz w:val="20"/>
        </w:rPr>
        <w:t>Potential uncertainty surrounding CPRA may increase our compliance costs and potential liability, particularly in the event of a data breach, and could have a material adverse effect on our business, including how we use personal information, our financial condition, the results of our operations or prospects.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yet fully predict the impact of the CCPA and CPRA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CCPA and CPRA have encouraged a number of proposals for new federal and state privacy legislation. At least eight additional states have recently passed personal information laws: the Virginia’s Consumer Data Protection Act, which went in effect on January 1, 2023; the Colorado Privacy Act, which went in effect on July 1, 2023; the Connecticut Data Privacy Act which went into effect on July 1, 2023; the Utah Consumer Privacy Act which goes into effect on December 31, 2023; the Iowa Consumer Data Protection Act which goes into effect on December 31, 2023; the Montana Consumer Data Protection Act which goes into effect on October 1, 2024; the Indiana Consumer Data Protection Act which goes into effect on January 1, 2026; and the Tennessee Information Protection Act which goes into effect on July 1, 2025. Furthermore, as of June 2023, at least four additional states have active, pending privacy bills.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yet fully predict the impact of such state laws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countries are considering or have passed legislation implementing data protection requirements or requiring local storage and processing of data or similar requirements that could increase the cost and complexity of delivering our services, including Brazil, Thailand, and Japan.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maintain, transmit and store data about consumers, employees, partners and others, including personally identifiable information, as well as other confidential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engage third parties that store, process and transmit these types of information on our behalf. We rely on encryption and authentication technology licensed from third parties in an effort to securely transmit confidential and sensitive information, including payment information.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and credential stuffing. Our security measures, and those of our third-party service providers, might not detect or prevent all attempts to breach our systems, denial-of-service attacks, viruses, malicious software, break-ins, phishing attacks, social engineering, security breaches, ransomware, credential stuffing attacks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might not anticipate or prevent all types of attacks until after they have already been launched. Further, techniques used to obtain unauthorized access to or sabotage systems change frequently and might not be known until launched against us or our third-party service providers. In addition, security breaches can also occur as a result of non-technical issues, including intentional or inadvertent breaches by our employees or by third parties. These risks may increase over time as the complexity and number of technical systems and applications we use also increases.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Breaches of our security measures or those of our third-party service providers or cyber security incidents could result in unauthorized access to our mobile applications, sites, networks and systems; unauthorized access to and misappropriation of data and customer information, including customers’ personally identifiable information, or other confidential or proprietary information of ourselves or third parties; viruses, worms, spyware or other malware being served from our mobile applications, sites, networks or systems; deletion or modification of content or the display of unauthorized content on our mobile applications or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In the future, we may experience social engineering, phishing, malware and similar attacks and threats of denial-of-service attacks and such attacks could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user’s password could access the user’s transaction data or personal information, resulting in the perception that our systems are insecure.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U.S. and foreign laws and regulations require companies to provide notice of data security breaches and/or incidents involving certain types of personal data to individuals, the media, government authorities or other third parties. In addition, some of our customers contractually require notification of data security breaches. Any compromise or breach of our security measures, or those of our third-party service providers, could cause significant legal and financial exposure, adverse publicity and a loss of confidence in our security measures, which could have a material adverse effect on our business, results of operations, financial condition and prospects. There can be no assurance that any limitations of liability provisions in our contracts would be enforceable or adequate or would otherwise protect us from any such liabilities or damages with respect to any particular claim arising from a cyber incident. We also cannot be sure that our existing cyber insurance coverage, general liability insurance coverage and coverage for errors or omissions will fully cover such incident, continue to be available on acceptable terms or will be available in sufficient amounts to cover one or more large claims, or that insurers will not deny coverage as to any future claim. One or more large, successful claims against us in excess of our available insurance coverage, or changes in our insurance policies, including premium increases or large deductible or co-insurance requirements, could have an adverse effect on our business, operating results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uncertainty and industry unpreparedness for new regulations may mean substantial disruption and inefficiency, demand constraints, and reduced inventory supply and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we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Biden administration negotiated new privacy shield terms with EU regulators, and signed an Executive Order in October 2022 directing the steps the United States will take to implement its commitments to the EU/US data privacy framework. The new proposed Privacy Shield terms are subject to further review by the European Commission and EC and member states. Max Schrems, who brought the lawsuit which resulted in the invalidation of Privacy Shield in 2020, has indicated that he will legally challenge these newly proposed Privacy Shield terms. 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 We are currently tracking recent developments regarding the European Commission’s July 10, 2023 adoption of an adequacy decision for the EU-US Data Privacy Framework, a cooperative effort between U.S. and European officials to overcome the security issues raised by the EU-US Privacy Shield regarding personal transfers from the EU to the United States. While we don’t anticipate any immediate changes in our current operations, we will observe how legal challenges may shape this framework and how it may lead to opportunities that will facilitate cross-border personal data flows between the EU and the United States and potentially result in lower costs to conduct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SCCs,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 European Union to the United States. In the event that use of the SCCs or New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industry self-regulation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economic sanctions requirements and export and import controls that could impair our ability to compete in international markets or subject us to civil or criminal liability.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parties claims if our publishers or buyers do not have sufficient rights to the content, technology, data, or other material associated with an ad impression that they provide, or if it infringes or is alleged to infringe the intellectual property rights of such parties.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licenses to use the intellectual property rights of third parties to conduct our business.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controls, our ability to produce accurate financial statements and other disclosures on a timely basis could be impaired.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assessment must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Section 404(b) of the Sarbanes-Oxley Act requires our independent registered public accounting firm to annually attest to the effectiveness of our internal control over financial reporting, which requires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are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credit agreement contains operating and financial covenants that may restrict our business and 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we entered into a Senior Secured Credit Facilities Credit Agreement (the “Credit Agreement”) with Silicon Valley Bank (“SVB”) and the several lenders parties thereto. As of June 30, 2023, we had no outstanding borrowings under the Credit Agreement.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are secured by substantially all of our assets. 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 The operating and financial restrictions and covenants in the Credit Agreement, as well as any future financing arrangements that we may enter into, may restrict our ability to finance our operations, engage in, expand, or otherwise pursue our business activities and strategies.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comply with these or other covenants may be affected by events beyond our control, and future breaches of these or other covenants could result in a default under the Credit Agreement. If not waived, future defaults could cause all of the outstanding indebtedness under our Credit Agreement to become immediately due and payable and terminate all commitments to extend further credit.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on March 10, 2023, SVB was closed by the California Department of Financial Protection and Innovation and subsequently appointed the Federal Deposit Insurance Corporation (“FDIC”) as receiver. Similarly, on March 12, 2023, Signature Bank and Silvergate Capital Corp. were each swept into receivership. While the FDIC has taken steps to make whole all depositors of SVB, there is no assurance that similar guarantees will be made in the event of further bank closures and continued instability in the global banking system. If other banks and financial institutions enter receivership or become insolvent in the future in response to financial conditions affecting the banking system and financial markets, then our ability to obtain financing may be threatened, which could have a material adverse effect on our business and financial condition. Moreover, events such as the closure of SVB, in addition to other global macroeconomic conditions, may cause further turbulence and uncertainty in the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tax liabilities may be greater than anticipated.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(benefit) for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Tax changes could affect our effective tax rate and future profitability.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U.S. federal, state or foreign tax laws and regulations, or their interpretation and application, including those with retroactive effect, could affect our tax expense, operating results, and/or cash flows. For example, beginning in 2022, the Tax Cuts and Jobs Act of 2017 (“Tax Act”) eliminated the option to immediately deduct research and development expenditures in the year incurred and required taxpayers to amortize such costs incurred in the U.S. over five years, and in foreign jurisdictions over fifteen years. In addition, President Biden recently signed the Inflation Reduction Act of 2022 (“Inflation Act”) that will impose a 15% corporate alternative minimum tax and 1% excise tax on repurchases of corporate stock. We are currently evaluating the various provisions of the Inflation Act, but do not anticipate it will have a material effect on the condensed consolidated financial statements. Such tax law changes may have an adverse effect on our cash taxes and as a result, our operating results, financial condition, and/or cash flows. The issuance of additional guidance related to the Tax Act, or other actions by governments in the United States or globally could significantly increase our tax obligations and the effective tax rate in future periods.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trading price of the shares of our Class A common stock has been and may continue to be volatile and could subject us to litigation.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volatility in the market price and trading volume of technology companies in general and of companies in the digital advertising industry in particular;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announcements of new solutions or technologies, commercial relationships, acquisitions, or other events by us or our competitors;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public’s reaction to our press releases, other public announcements, and filings with the SEC;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fluctuations in the trading volume of our shares or the size of our public float;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sales of large blocks of our common stock;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actual or anticipated changes or fluctuations in our results of operations or financial projections;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actual or future expectations of investors or securities analysts;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governmental or regulatory developments or actions, or litigation involving us, our industry, or both;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conditions and trends or catastrophic events in our domestic and foreign markets.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Our Class B common stock has</w:t>
      </w:r>
      <w:r>
        <w:rPr>
          <w:color w:val="000000"/>
        </w:rPr>
        <w:t> </w:t>
      </w:r>
      <w:r>
        <w:rPr>
          <w:rFonts w:ascii="Times New Roman;sans-serif" w:hAnsi="Times New Roman;sans-serif"/>
          <w:b w:val="false"/>
          <w:color w:val="000000"/>
          <w:sz w:val="20"/>
        </w:rPr>
        <w:t>ten</w:t>
      </w:r>
      <w:r>
        <w:rPr>
          <w:color w:val="000000"/>
        </w:rPr>
        <w:t> </w:t>
      </w:r>
      <w:r>
        <w:rPr>
          <w:rFonts w:ascii="Times New Roman;sans-serif" w:hAnsi="Times New Roman;sans-serif"/>
          <w:b w:val="false"/>
          <w:color w:val="000000"/>
          <w:sz w:val="20"/>
        </w:rPr>
        <w:t>votes per share, and our Class A common stock has one vote per share. Transfers of stock by holders of Class B common stock will generally result in those shares converting to Class A common stock, subject to limited exceptions. As of June 30, 2023, our directors and officers, and their respective affiliates, beneficially owned in the aggregate approximately 65%</w:t>
      </w:r>
      <w:r>
        <w:rPr>
          <w:color w:val="000000"/>
        </w:rPr>
        <w:t> </w:t>
      </w:r>
      <w:r>
        <w:rPr>
          <w:rFonts w:ascii="Times New Roman;sans-serif" w:hAnsi="Times New Roman;sans-serif"/>
          <w:b w:val="false"/>
          <w:color w:val="000000"/>
          <w:sz w:val="20"/>
        </w:rPr>
        <w:t xml:space="preserve">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Sales of substantial amounts of our Class A common stock in the public markets, or the perception that they might occur, could cause the market price of our Class A common stock to decline.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other corporate governance changes.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bidi w:val="0"/>
        <w:spacing w:lineRule="auto" w:line="288" w:before="120" w:after="283"/>
        <w:ind w:left="0" w:right="0" w:hanging="360"/>
        <w:jc w:val="both"/>
        <w:rPr/>
      </w:pPr>
      <w:r>
        <w:rPr>
          <w:color w:val="000000"/>
        </w:rPr>
        <w:t xml:space="preserve">• </w:t>
      </w:r>
      <w:r>
        <w:rPr>
          <w:rFonts w:ascii="Times New Roman;sans-serif" w:hAnsi="Times New Roman;sans-serif"/>
          <w:b w:val="false"/>
          <w:color w:val="000000"/>
          <w:sz w:val="20"/>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board to issue shares of preferred stock without stockholder approval, which could be used to significantly dilute the ownership of a hostile acquirer;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effective upon such time as the outstanding shares of our Class B common stock represent less than a majority of the combined voting power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our chief executive officer, our lead director, or a majority of our board;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board to amend the bylaws, which may allow it to take additional actions to prevent an unsolicited takeover and inhibit the ability of an acquirer;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advance notice procedures with which stockholders must comply to nominate candidates to our board or to propose matters to be acted upon at a stockholders’ meeting;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repurchases of our Class A common stock during the three months ended June 30, 2023:</w:t>
      </w:r>
    </w:p>
    <w:tbl>
      <w:tblPr>
        <w:tblW w:w="10205" w:type="dxa"/>
        <w:jc w:val="left"/>
        <w:tblInd w:w="0" w:type="dxa"/>
        <w:tblLayout w:type="fixed"/>
        <w:tblCellMar>
          <w:top w:w="28" w:type="dxa"/>
          <w:left w:w="28" w:type="dxa"/>
          <w:bottom w:w="28" w:type="dxa"/>
          <w:right w:w="28" w:type="dxa"/>
        </w:tblCellMar>
      </w:tblPr>
      <w:tblGrid>
        <w:gridCol w:w="386"/>
        <w:gridCol w:w="339"/>
        <w:gridCol w:w="343"/>
        <w:gridCol w:w="109"/>
        <w:gridCol w:w="109"/>
        <w:gridCol w:w="109"/>
        <w:gridCol w:w="604"/>
        <w:gridCol w:w="440"/>
        <w:gridCol w:w="441"/>
        <w:gridCol w:w="109"/>
        <w:gridCol w:w="109"/>
        <w:gridCol w:w="109"/>
        <w:gridCol w:w="285"/>
        <w:gridCol w:w="834"/>
        <w:gridCol w:w="147"/>
        <w:gridCol w:w="109"/>
        <w:gridCol w:w="109"/>
        <w:gridCol w:w="109"/>
        <w:gridCol w:w="850"/>
        <w:gridCol w:w="749"/>
        <w:gridCol w:w="751"/>
        <w:gridCol w:w="109"/>
        <w:gridCol w:w="109"/>
        <w:gridCol w:w="109"/>
        <w:gridCol w:w="397"/>
        <w:gridCol w:w="2035"/>
        <w:gridCol w:w="296"/>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Average Price Paid Per Share</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Total Number of Shares Purchased as Part of Publicly Announced Plans or Programs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Approximate Dollar Value of Shares that May Yet Be Purchased Under the Plans or Programs</w:t>
            </w:r>
            <w:r>
              <w:rPr>
                <w:rFonts w:ascii="Times New Roman;sans-serif" w:hAnsi="Times New Roman;sans-serif"/>
                <w:b w:val="false"/>
                <w:color w:val="000000"/>
                <w:sz w:val="13"/>
              </w:rPr>
              <w:t>(1)</w:t>
            </w:r>
          </w:p>
        </w:tc>
      </w:tr>
      <w:tr>
        <w:trPr/>
        <w:tc>
          <w:tcPr>
            <w:tcW w:w="1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April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481,950 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481,950 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60,328,049 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 May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281,516 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281,516 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55,764,752 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235,900 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51,519,780 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999,366 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999,366 </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above do not include the 1% excise tax on stock repurchases enacted by the Inflation Reduction Act of 2022.</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(1)On February 28, 2023, we announced the authorization of a share repurchase program for the repurchase of shares of our Class A common stock in an aggregate amount of up to $75 million through December 31, 2024.</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333"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Trading Plans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following trading plans were adopted or terminated:</w:t>
      </w:r>
    </w:p>
    <w:tbl>
      <w:tblPr>
        <w:tblW w:w="10205" w:type="dxa"/>
        <w:jc w:val="left"/>
        <w:tblInd w:w="0" w:type="dxa"/>
        <w:tblLayout w:type="fixed"/>
        <w:tblCellMar>
          <w:top w:w="28" w:type="dxa"/>
          <w:left w:w="28" w:type="dxa"/>
          <w:bottom w:w="28" w:type="dxa"/>
          <w:right w:w="28" w:type="dxa"/>
        </w:tblCellMar>
      </w:tblPr>
      <w:tblGrid>
        <w:gridCol w:w="412"/>
        <w:gridCol w:w="362"/>
        <w:gridCol w:w="368"/>
        <w:gridCol w:w="109"/>
        <w:gridCol w:w="109"/>
        <w:gridCol w:w="109"/>
        <w:gridCol w:w="322"/>
        <w:gridCol w:w="322"/>
        <w:gridCol w:w="328"/>
        <w:gridCol w:w="109"/>
        <w:gridCol w:w="109"/>
        <w:gridCol w:w="109"/>
        <w:gridCol w:w="269"/>
        <w:gridCol w:w="269"/>
        <w:gridCol w:w="273"/>
        <w:gridCol w:w="109"/>
        <w:gridCol w:w="109"/>
        <w:gridCol w:w="109"/>
        <w:gridCol w:w="209"/>
        <w:gridCol w:w="209"/>
        <w:gridCol w:w="214"/>
        <w:gridCol w:w="109"/>
        <w:gridCol w:w="109"/>
        <w:gridCol w:w="109"/>
        <w:gridCol w:w="254"/>
        <w:gridCol w:w="254"/>
        <w:gridCol w:w="234"/>
        <w:gridCol w:w="146"/>
        <w:gridCol w:w="146"/>
        <w:gridCol w:w="146"/>
        <w:gridCol w:w="364"/>
        <w:gridCol w:w="364"/>
        <w:gridCol w:w="377"/>
        <w:gridCol w:w="109"/>
        <w:gridCol w:w="109"/>
        <w:gridCol w:w="109"/>
        <w:gridCol w:w="626"/>
        <w:gridCol w:w="320"/>
        <w:gridCol w:w="321"/>
        <w:gridCol w:w="109"/>
        <w:gridCol w:w="109"/>
        <w:gridCol w:w="109"/>
        <w:gridCol w:w="328"/>
        <w:gridCol w:w="328"/>
        <w:gridCol w:w="478"/>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Non-Rule 10b5-1**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Shares to be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Expiration Date</w:t>
            </w:r>
          </w:p>
        </w:tc>
      </w:tr>
      <w:tr>
        <w:trPr/>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 xml:space="preserve">Paulina Klimenko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Growth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 xml:space="preserve">X </w:t>
            </w:r>
            <w:r>
              <w:rPr>
                <w:rFonts w:ascii="Times New Roman;sans-serif" w:hAnsi="Times New Roman;sans-serif"/>
                <w:b w:val="false"/>
                <w:color w:val="000000"/>
                <w:sz w:val="13"/>
              </w:rPr>
              <w:t>(1)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139,637 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7/12/2024</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Intended to satisfy the affirmative defense of Rule 10b5-1(c).</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Not intended to satisfy the affirmative defense of Rule 10b5-1(c).</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(1)The 10b5-1 plan included a representation from the officer to the broker administering the plan that they were not in possession of any material nonpublic information regarding the Company or the securities subject to the plan. A similar representation was made to the Company in connection with the adoption of the plan under the Company’s insider trading policy. Those representations were made as of the date of adoption of the 10b5-1 plan, and speak only as of that date. In making those representations, there is no assurance with respect to any material non-public information of which the officer was unaware, or with respect to any material non-public information acquired by the officer or the Company after the date of the representation. </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 aggregate number of RSU Shares that will be available for sale under the plan is not yet determinable because the shares available will be net of shares sold to satisfy tax withholding obligations that arise in connection with the vesting and settlement of such RSU awards. As such, for purposes of this disclosure, the shares included in this table reflect the aggregate maximum number of shares underlying Ms. Klimenko's RSUs without excluding the shares that will be sold to satisfy the tax withholding obligations.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7"/>
        <w:gridCol w:w="235"/>
        <w:gridCol w:w="236"/>
        <w:gridCol w:w="109"/>
        <w:gridCol w:w="109"/>
        <w:gridCol w:w="109"/>
        <w:gridCol w:w="1706"/>
        <w:gridCol w:w="1349"/>
        <w:gridCol w:w="1353"/>
        <w:gridCol w:w="109"/>
        <w:gridCol w:w="109"/>
        <w:gridCol w:w="109"/>
        <w:gridCol w:w="170"/>
        <w:gridCol w:w="170"/>
        <w:gridCol w:w="171"/>
        <w:gridCol w:w="109"/>
        <w:gridCol w:w="109"/>
        <w:gridCol w:w="109"/>
        <w:gridCol w:w="145"/>
        <w:gridCol w:w="145"/>
        <w:gridCol w:w="146"/>
        <w:gridCol w:w="109"/>
        <w:gridCol w:w="109"/>
        <w:gridCol w:w="109"/>
        <w:gridCol w:w="210"/>
        <w:gridCol w:w="210"/>
        <w:gridCol w:w="211"/>
        <w:gridCol w:w="109"/>
        <w:gridCol w:w="109"/>
        <w:gridCol w:w="109"/>
        <w:gridCol w:w="201"/>
        <w:gridCol w:w="201"/>
        <w:gridCol w:w="202"/>
        <w:gridCol w:w="109"/>
        <w:gridCol w:w="109"/>
        <w:gridCol w:w="109"/>
        <w:gridCol w:w="266"/>
        <w:gridCol w:w="266"/>
        <w:gridCol w:w="383"/>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q2offerletter.htm">
              <w:r>
                <w:rPr>
                  <w:rStyle w:val="InternetLink"/>
                  <w:rFonts w:ascii="Times New Roman;sans-serif" w:hAnsi="Times New Roman;sans-serif"/>
                  <w:b w:val="false"/>
                  <w:color w:val="000080"/>
                  <w:sz w:val="20"/>
                  <w:u w:val="single"/>
                </w:rPr>
                <w:t xml:space="preserve">Offer Letter, effective as of June 5, 2023, by and between the </w:t>
              </w:r>
            </w:hyperlink>
            <w:hyperlink w:anchor="exhibit101q2offerletter.htm">
              <w:r>
                <w:rPr>
                  <w:rStyle w:val="InternetLink"/>
                  <w:rFonts w:ascii="Times New Roman;sans-serif" w:hAnsi="Times New Roman;sans-serif"/>
                  <w:b w:val="false"/>
                  <w:color w:val="000080"/>
                  <w:sz w:val="20"/>
                  <w:u w:val="single"/>
                </w:rPr>
                <w:t>R</w:t>
              </w:r>
            </w:hyperlink>
            <w:hyperlink w:anchor="exhibit101q2offerletter.htm">
              <w:r>
                <w:rPr>
                  <w:rStyle w:val="InternetLink"/>
                  <w:rFonts w:ascii="Times New Roman;sans-serif" w:hAnsi="Times New Roman;sans-serif"/>
                  <w:b w:val="false"/>
                  <w:color w:val="000080"/>
                  <w:sz w:val="20"/>
                  <w:u w:val="single"/>
                </w:rPr>
                <w:t>egistrant</w:t>
              </w:r>
            </w:hyperlink>
            <w:hyperlink w:anchor="exhibit101q2offerletter.htm">
              <w:r>
                <w:rPr>
                  <w:rStyle w:val="InternetLink"/>
                  <w:rFonts w:ascii="Times New Roman;sans-serif" w:hAnsi="Times New Roman;sans-serif"/>
                  <w:b w:val="false"/>
                  <w:color w:val="000080"/>
                  <w:sz w:val="20"/>
                  <w:u w:val="single"/>
                </w:rPr>
                <w:t xml:space="preserve"> and Lisa Gimbel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3exhibit311.htm">
              <w:r>
                <w:rPr>
                  <w:rStyle w:val="InternetLink"/>
                  <w:rFonts w:ascii="Times New Roman;sans-serif" w:hAnsi="Times New Roman;sans-serif"/>
                  <w:b w:val="false"/>
                  <w:color w:val="0000FF"/>
                  <w:sz w:val="20"/>
                  <w:u w:val="single"/>
                </w:rPr>
                <w:t>Certification of Chief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3exhibit312.htm">
              <w:r>
                <w:rPr>
                  <w:rStyle w:val="InternetLink"/>
                  <w:rFonts w:ascii="Times New Roman;sans-serif" w:hAnsi="Times New Roman;sans-serif"/>
                  <w:b w:val="false"/>
                  <w:color w:val="0000FF"/>
                  <w:sz w:val="20"/>
                  <w:u w:val="single"/>
                </w:rPr>
                <w:t>Certification of Chief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3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3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120" w:after="283"/>
        <w:jc w:val="both"/>
        <w:rPr/>
      </w:pPr>
      <w:r>
        <w:rPr>
          <w:rFonts w:ascii="Times New Roman;sans-serif" w:hAnsi="Times New Roman;sans-serif"/>
          <w:b w:val="false"/>
          <w:color w:val="000000"/>
          <w:sz w:val="16"/>
        </w:rPr>
        <w:t>________________</w:t>
        <w:br/>
        <w:t xml:space="preserve">*      </w:t>
      </w:r>
      <w:r>
        <w:rPr>
          <w:rFonts w:ascii="Times New Roman;sans-serif" w:hAnsi="Times New Roman;sans-serif"/>
          <w:b w:val="false"/>
          <w:color w:val="000000"/>
          <w:sz w:val="18"/>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Indicates a management contract,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415ffebaee6f4acda10bc64cc15d5a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bl>
      <w:tblPr>
        <w:tblW w:w="3328" w:type="dxa"/>
        <w:jc w:val="right"/>
        <w:tblInd w:w="0" w:type="dxa"/>
        <w:tblLayout w:type="fixed"/>
        <w:tblCellMar>
          <w:top w:w="28" w:type="dxa"/>
          <w:left w:w="28" w:type="dxa"/>
          <w:bottom w:w="28" w:type="dxa"/>
          <w:right w:w="28" w:type="dxa"/>
        </w:tblCellMar>
      </w:tblPr>
      <w:tblGrid>
        <w:gridCol w:w="293"/>
        <w:gridCol w:w="258"/>
        <w:gridCol w:w="258"/>
        <w:gridCol w:w="731"/>
        <w:gridCol w:w="731"/>
        <w:gridCol w:w="105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32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PUBMATIC, INC.</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Pantelick</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Exhibit 10.1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40" w:before="0" w:after="0"/>
        <w:jc w:val="right"/>
        <w:rPr/>
      </w:pPr>
      <w:r>
        <w:rPr>
          <w:rFonts w:ascii="Times New Roman;sans-serif" w:hAnsi="Times New Roman;sans-serif"/>
          <w:b w:val="false"/>
          <w:color w:val="000000"/>
          <w:sz w:val="22"/>
        </w:rPr>
        <w:t>May 12</w:t>
      </w:r>
      <w:r>
        <w:rPr>
          <w:rFonts w:ascii="Times New Roman;sans-serif" w:hAnsi="Times New Roman;sans-serif"/>
          <w:b w:val="false"/>
          <w:color w:val="000000"/>
          <w:sz w:val="14"/>
        </w:rPr>
        <w:t>th</w:t>
      </w:r>
      <w:r>
        <w:rPr>
          <w:rFonts w:ascii="Times New Roman;sans-serif" w:hAnsi="Times New Roman;sans-serif"/>
          <w:b w:val="false"/>
          <w:color w:val="000000"/>
          <w:sz w:val="22"/>
        </w:rPr>
        <w:t>, 2023</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Lisa Gimbel</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(address redacted)</w:t>
      </w: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Lisa: </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PubMatic, Inc. (the “Company” or “PubMatic”), a Delaware corporation, is pleased to confirm our offer to you for the position of Chief Accounting Officer at our Redwood City office in the Finance department. Upon joining, you will initially report to Steve Pantelick, Chief Financial Officer. The terms of our offer and benefits currently provided by the Company include the following: </w:t>
      </w:r>
    </w:p>
    <w:p>
      <w:pPr>
        <w:pStyle w:val="TextBody"/>
        <w:bidi w:val="0"/>
        <w:spacing w:lineRule="auto" w:line="288" w:before="0" w:after="120"/>
        <w:jc w:val="both"/>
        <w:rPr/>
      </w:pPr>
      <w:r>
        <w:rPr>
          <w:rFonts w:ascii="Times New Roman;sans-serif" w:hAnsi="Times New Roman;sans-serif"/>
          <w:b/>
          <w:color w:val="000000"/>
          <w:sz w:val="22"/>
          <w:u w:val="single"/>
        </w:rPr>
        <w:t>Start Date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Your anticipated start date is June 5</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2023. If your start date will differ from this date, please notify PubMatic at your earliest convenience. </w:t>
      </w:r>
    </w:p>
    <w:p>
      <w:pPr>
        <w:pStyle w:val="TextBody"/>
        <w:bidi w:val="0"/>
        <w:spacing w:lineRule="auto" w:line="288" w:before="0" w:after="120"/>
        <w:jc w:val="both"/>
        <w:rPr/>
      </w:pPr>
      <w:r>
        <w:rPr>
          <w:rFonts w:ascii="Times New Roman;sans-serif" w:hAnsi="Times New Roman;sans-serif"/>
          <w:b/>
          <w:color w:val="000000"/>
          <w:sz w:val="22"/>
          <w:u w:val="single"/>
        </w:rPr>
        <w:t>Starting Salary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For your services rendered to PubMatic, during your employment you will receive an initial base salary at an annual rate of $340,000. Your base salary will be paid in periodic installments in accordance with PubMatic’s regular payroll practices and will be subject to applicable withholdings and deductions. </w:t>
      </w:r>
    </w:p>
    <w:p>
      <w:pPr>
        <w:pStyle w:val="TextBody"/>
        <w:bidi w:val="0"/>
        <w:spacing w:lineRule="auto" w:line="288" w:before="0" w:after="120"/>
        <w:jc w:val="both"/>
        <w:rPr/>
      </w:pPr>
      <w:r>
        <w:rPr>
          <w:rFonts w:ascii="Times New Roman;sans-serif" w:hAnsi="Times New Roman;sans-serif"/>
          <w:b/>
          <w:color w:val="000000"/>
          <w:sz w:val="22"/>
          <w:u w:val="single"/>
        </w:rPr>
        <w:t>Bonus</w:t>
      </w:r>
      <w:r>
        <w:rPr>
          <w:rFonts w:ascii="Times New Roman;sans-serif" w:hAnsi="Times New Roman;sans-serif"/>
          <w:b w:val="false"/>
          <w:color w:val="000000"/>
          <w:sz w:val="22"/>
        </w:rPr>
        <w:t xml:space="preserve">. You will be eligible to receive a performance bonus with an on-target bonus amount of $85,000 </w:t>
      </w:r>
      <w:r>
        <w:rPr>
          <w:rFonts w:ascii="Times New Roman;sans-serif" w:hAnsi="Times New Roman;sans-serif"/>
          <w:b w:val="false"/>
          <w:i/>
          <w:color w:val="000000"/>
          <w:sz w:val="22"/>
        </w:rPr>
        <w:t>per annum</w:t>
      </w:r>
      <w:r>
        <w:rPr>
          <w:rFonts w:ascii="Times New Roman;sans-serif" w:hAnsi="Times New Roman;sans-serif"/>
          <w:b w:val="false"/>
          <w:color w:val="000000"/>
          <w:sz w:val="22"/>
        </w:rPr>
        <w:t>. The bonus is prorated based on start date and paid annually, based on achievement of goals, individual and/or Company targets, and your performance review.</w:t>
      </w:r>
      <w:r>
        <w:rPr>
          <w:color w:val="000000"/>
        </w:rPr>
        <w:t xml:space="preserve"> </w:t>
      </w:r>
      <w:r>
        <w:rPr>
          <w:rFonts w:ascii="Times New Roman;sans-serif" w:hAnsi="Times New Roman;sans-serif"/>
          <w:b w:val="false"/>
          <w:color w:val="000000"/>
          <w:sz w:val="22"/>
        </w:rPr>
        <w:t xml:space="preserve">You must be actively employed by the Company through the applicable bonus payment date in order to be eligible to receive your bonus (or any portion thereof). The complete terms and conditions of this bonus are set forth in a separate bonus plan for the specific bonus program applicable to you. Your bonus, if any, will be subject to applicable withholdings and deductions. </w:t>
      </w:r>
    </w:p>
    <w:p>
      <w:pPr>
        <w:pStyle w:val="TextBody"/>
        <w:bidi w:val="0"/>
        <w:spacing w:lineRule="auto" w:line="288" w:before="0" w:after="120"/>
        <w:jc w:val="both"/>
        <w:rPr/>
      </w:pPr>
      <w:r>
        <w:rPr>
          <w:rFonts w:ascii="Times New Roman;sans-serif" w:hAnsi="Times New Roman;sans-serif"/>
          <w:b/>
          <w:color w:val="000000"/>
          <w:sz w:val="22"/>
          <w:u w:val="single"/>
        </w:rPr>
        <w:t>Benefits</w:t>
      </w:r>
      <w:r>
        <w:rPr>
          <w:rFonts w:ascii="Times New Roman;sans-serif" w:hAnsi="Times New Roman;sans-serif"/>
          <w:b w:val="false"/>
          <w:color w:val="000000"/>
          <w:sz w:val="22"/>
        </w:rPr>
        <w:t>. In addition, you will be eligible to participate in regular health insurance and other employee benefit plans established by the Company for its employees from time to time, in accordance with the terms of the applicable plan documents.</w:t>
      </w:r>
    </w:p>
    <w:p>
      <w:pPr>
        <w:pStyle w:val="TextBody"/>
        <w:bidi w:val="0"/>
        <w:spacing w:lineRule="auto" w:line="288" w:before="0" w:after="120"/>
        <w:jc w:val="both"/>
        <w:rPr/>
      </w:pPr>
      <w:r>
        <w:rPr>
          <w:rFonts w:ascii="Times New Roman;sans-serif" w:hAnsi="Times New Roman;sans-serif"/>
          <w:b/>
          <w:color w:val="000000"/>
          <w:sz w:val="22"/>
          <w:u w:val="single"/>
        </w:rPr>
        <w:t>Equity</w:t>
      </w:r>
      <w:r>
        <w:rPr>
          <w:rFonts w:ascii="Times New Roman;sans-serif" w:hAnsi="Times New Roman;sans-serif"/>
          <w:b w:val="false"/>
          <w:color w:val="000000"/>
          <w:sz w:val="22"/>
        </w:rPr>
        <w:t>. Under the Company’s 2020 Equity Incentive Plan or any successor equity plan (the “Plan”), and subject to approval by the Company’s Board of Directors (the “Board”) or its delegates, the Company plans to grant you an award of restricted stock units (“RSUs”) with an aggregate value of $400,000 If approved, the number of RSUs granted will be determined by using the fair market value of the Company’s Common Stock, based on the methodology adopted by the Board as of your grant date, and rounded to the nearest number of RSUs. RSUs will vest subject to the satisfaction of your continued employment with the Company and on a vesting schedule set forth in your applicable grant agreement. In all cases, the RSUs will be subject to the terms and conditions of the Plan, the applicable grant agreement, and applicable law. Please note that the grant of such RSUs by the Company is subject to approval and this promise to recommend such approval is not a promise of compensation and is not intended to create any obligation on the part of the Company.</w:t>
      </w:r>
    </w:p>
    <w:p>
      <w:pPr>
        <w:pStyle w:val="TextBody"/>
        <w:bidi w:val="0"/>
        <w:spacing w:lineRule="auto" w:line="288" w:before="0" w:after="120"/>
        <w:jc w:val="both"/>
        <w:rPr/>
      </w:pPr>
      <w:r>
        <w:rPr>
          <w:rFonts w:ascii="Times New Roman;sans-serif" w:hAnsi="Times New Roman;sans-serif"/>
          <w:b/>
          <w:color w:val="000000"/>
          <w:sz w:val="22"/>
          <w:u w:val="single"/>
        </w:rPr>
        <w:t>At Will Employment</w:t>
      </w:r>
      <w:r>
        <w:rPr>
          <w:rFonts w:ascii="Times New Roman;sans-serif" w:hAnsi="Times New Roman;sans-serif"/>
          <w:b w:val="false"/>
          <w:color w:val="000000"/>
          <w:sz w:val="22"/>
        </w:rPr>
        <w:t xml:space="preserve">. While we look forward to a rewarding and meaningful employment relationship, should you decide to accept our offer, you will be an at-will employee of the Company, which means the employment relationship can be terminated by either of us for any reason, at any time, with or without prior notice and with or without cause. Any statements or representations to the contrary (and, indeed, any statements contradicting any provision in this letter) should be regarded by you as ineffective. Further, your participation in any incentive or benefit program is not to be regarded as an entitlement to continuing employment for any particular period of time. Although your job duties, title, compensation, and benefits, as well as the Company’s personnel policies and procedures, may change from time to time, any modification or change in your at-will employment status may only occur by way of a written agreement signed by the Chief Executive Officer of the Company. </w:t>
      </w:r>
    </w:p>
    <w:p>
      <w:pPr>
        <w:pStyle w:val="TextBody"/>
        <w:bidi w:val="0"/>
        <w:spacing w:lineRule="auto" w:line="288" w:before="0" w:after="120"/>
        <w:jc w:val="both"/>
        <w:rPr/>
      </w:pPr>
      <w:r>
        <w:rPr>
          <w:rFonts w:ascii="Times New Roman;sans-serif" w:hAnsi="Times New Roman;sans-serif"/>
          <w:b/>
          <w:color w:val="000000"/>
          <w:sz w:val="22"/>
          <w:u w:val="single"/>
        </w:rPr>
        <w:t>Authorization to Work</w:t>
      </w:r>
      <w:r>
        <w:rPr>
          <w:rFonts w:ascii="Times New Roman;sans-serif" w:hAnsi="Times New Roman;sans-serif"/>
          <w:b w:val="false"/>
          <w:color w:val="000000"/>
          <w:sz w:val="22"/>
        </w:rPr>
        <w:t xml:space="preserve">. In accordance with the Immigration Reform and Control Act of 1986, employers must complete a Form I-9 Employment Eligibility Verification for all new hires in the United States, regardless of </w:t>
      </w:r>
    </w:p>
    <w:p>
      <w:pPr>
        <w:pStyle w:val="TextBody"/>
        <w:bidi w:val="0"/>
        <w:spacing w:before="0" w:after="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PubMatic, Inc. 601 Marshall Street, Redwood City, CA 94063 - (650) 331 3485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PubMatic, Inc. 601 Marshall Street, Redwood City, CA 94063 - (650) 331 3485</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citizenship, within three business days of commencement of employment. To comply with this requirement, within three business days of your start date, you must present valid documentation verifying your identity and demonstrating that you have authorization to work for the Company in the United States. If you have questions about this requirement, you may contact our office.</w:t>
      </w:r>
    </w:p>
    <w:p>
      <w:pPr>
        <w:pStyle w:val="TextBody"/>
        <w:bidi w:val="0"/>
        <w:spacing w:lineRule="auto" w:line="288" w:before="0" w:after="120"/>
        <w:jc w:val="both"/>
        <w:rPr/>
      </w:pPr>
      <w:r>
        <w:rPr>
          <w:rFonts w:ascii="Times New Roman;sans-serif" w:hAnsi="Times New Roman;sans-serif"/>
          <w:b/>
          <w:color w:val="000000"/>
          <w:sz w:val="22"/>
          <w:u w:val="single"/>
        </w:rPr>
        <w:t>Arbitration</w:t>
      </w:r>
      <w:r>
        <w:rPr>
          <w:rFonts w:ascii="Times New Roman;sans-serif" w:hAnsi="Times New Roman;sans-serif"/>
          <w:b/>
          <w:color w:val="000000"/>
          <w:sz w:val="22"/>
        </w:rPr>
        <w:t>.</w:t>
      </w:r>
      <w:r>
        <w:rPr>
          <w:color w:val="000000"/>
        </w:rPr>
        <w:t xml:space="preserve"> </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IMPORTANT: PLEASE BE ADVISED THAT THIS AGREEMENT CONTAINS PROVISIONS THAT GOVERN HOW CLAIMS BETWEEN YOU AND THE COMPANY CAN BE BROUGHT. PLEASE REVIEW THIS SECTION REGARDING ARBITRATION CAREFULLY, AS IT REQUIRES YOU TO RESOLVE ALL DISPUTES WITH THE COMPANY ON AN INDIVIDUAL BASIS AND, WITH LIMITED EXCEPTIONS, THROUGH FINAL AND BINDING ARBITRATION.</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You and PubMatic agree that any and all disputes, claims, or causes of action, in law or equity, arising from or relating to the enforcement, interpretation, applicability, arbitrability, or scope of this agreement, or that arise out of or relate to your employment, the terms and conditions of employment, or the termination of your employment (collectively, “Claims”), shall be resolved to the fullest extent permitted by law by final, binding, and (to the extent permitted by law) confidential arbitration as provided for below (the “Arbitration Agreement”). Claims subject to this Arbitration Agreement shall (a) include, but not be limited to, as applicable, Claims pursuant to any federal, state or local law, ordinance, regulation, or statute, including (without limitation) the Age Discrimination in Employment Act, as amended; Title VII of the Civil Rights Act of 1964, as amended; the Americans With Disabilities Act of 1990; the federal Fair Labor Standards Act; the Equal Pay Act; the Family and Medical Leave Act; the Worker Retraining Notification Act; the Genetic Information Nondiscrimination Act of 2008; the Families First Coronavirus Response Act; the Coronavirus Aid, Relief, and Economic Security (“CARES”) Act; the American Rescue Plan Act of 2021; the California Fair Employment and Housing Act; the California Pregnancy Disability Leave Law; the California Family Rights Act; the California Constitution; any Wage Orders promulgated by the California Industrial Welfare Commission as well as any related wage and hour law or regulation as set forth in the California Labor Code and the opinions issued by the California Department of Labor Standards Enforcement; the New York State Human Rights Law; the New York City Human Rights Law; the New York State Labor Law; any other applicable state or local laws, rules or regulations; and Claims pursuant to any common law, tort law or contract law, including (without limitation) breach of contract or other promise, discrimination, retaliation, wrongful discharge, fraud, misrepresentation, defamation, and emotional distress, and (b) exclude Claims that by law are not subject to arbitration such as those involving sexual assault and/or sexual harassment as those terms are defined in the federal Ending Forced Arbitration of Sexual Assault and Sexual Harassment Act of 2021.</w:t>
      </w:r>
    </w:p>
    <w:p>
      <w:pPr>
        <w:pStyle w:val="TextBody"/>
        <w:bidi w:val="0"/>
        <w:spacing w:lineRule="auto" w:line="288" w:before="0" w:after="12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The terms and conditions relating to binding arbitration are as follows:</w: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(1)This Arbitration Agreement provides the sole and exclusive method of resolving Claims between you and PubMatic, except where otherwise prohibited by law. Nothing in this Arbitration Agreement shall affect or restrict your right to file an administrative charge, cooperate, or speak with any federal, state or local government agency (including, but not limited to, the National Labor Relations Board, the Equal Employment Opportunity Commission, the Securities and Exchange Commission, the Department of Labor, or any state or local human rights or law enforcement agency). However, the parties agree that, to the fullest extent permitted by law, arbitration shall be the exclusive remedy for the subject matter of any administratively filed Claims commenced by you or brought on your behalf. </w: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(2)Except as specifically provided herein, the Federal Arbitration Act shall govern the interpretation and enforceability of this Arbitration Agreement, and any arbitration proceedings pursuant of this Arbitration Agreement. The law applied by an arbitrator shall be the law of the state of the PubMatic office to which you report. </w:t>
      </w:r>
    </w:p>
    <w:p>
      <w:pPr>
        <w:pStyle w:val="TextBody"/>
        <w:bidi w:val="0"/>
        <w:spacing w:before="0" w:after="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2</w:t>
                      </w:r>
                    </w:p>
                  </w:txbxContent>
                </v:textbox>
                <w10:wrap type="none"/>
              </v:rect>
            </w:pict>
          </mc:Fallback>
        </mc:AlternateConten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(3)Any demand for arbitration of Claims by you or PubMatic must be made to the other in writing. All applicable statutes of limitations in the law of the state of the PubMatic office to which you report will apply to the Claims that are the subject of the demand for such arbitration. </w: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(4)The Claim(s) shall be submitted to, and decided by a single, neutral arbitrator selected from, Judicial Arbitration and Mediation Services (JAMS) (or its successors) under the JAMS Employment Arbitration Rules and Procedures, available online at jamsadr.com/rules-employment-arbitration/. To the extent that the Employment Arbitration Rules and Procedures do not apply, the dispute shall be governed by the JAMS Comprehensive Arbitration Rules &amp; Procedures, available online at jamsadr.com/rules-comprehensive-arbitration/. If you are unable to access these rules, please notify Human Resources and you will be provided with a hardcopy. The arbitration proceedings shall be conducted in San Francisco, California or New York, New York, depending on whether you report to the PubMatic offices in Redwood City, California or New York, New York, respectively. </w: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(5)The decision of the arbitrator shall be final and binding on you and PubMatic, subject to the right to seek judicial review in accordance with applicable law.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Any right of review of the arbitrator’s decision shall be governed by the applicable civil procedure rules.</w: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(6)PubMatic shall pay all fees charged by JAMS related to the arbitration of Claims. If you are represented by counsel, you will be responsible for your own attorneys’ fees and costs, subject to any fees and costs awarded by the arbitrator (when available under applicable law).</w: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(7)You and PubMatic shall be entitled to engage in reasonable discovery, including depositions, interrogatories, requests for production of documents and things, requests for admissions, physical and mental examinations, expert discovery, and the issuance of subpoenas. Any disputes concerning discovery, including limitations thereon, shall be decided by the arbitrator. The arbitrator shall have the power and authority to impose evidentiary or monetary sanctions, including the payment of attorneys’ and/or arbitrator’s fees, in accordance with the applicable state’s law.</w: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(8)This Arbitration Agreement shall be binding upon your heirs, administrators, executors, successors, and assigns, and shall inure to the benefit of any successors or assigns of PubMatic.</w: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(9)Nothing in this Arbitration Agreement is intended to prevent either you or the Company from obtaining injunctive relief in a court of law regarding the improper use, disclosure or misappropriation of a party’s private, proprietary, confidential or trade secret information.</w:t>
      </w:r>
    </w:p>
    <w:p>
      <w:pPr>
        <w:pStyle w:val="TextBody"/>
        <w:bidi w:val="0"/>
        <w:spacing w:lineRule="auto" w:line="288" w:before="0" w:after="12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(10)Arbitration shall proceed solely on an individual basis without the right for any Claims to be arbitrated on a class, consolidated, or collective-action basis or on bases involving claims brought in a purported representative capacity on behalf of others. The arbitrator’s authority to resolve and make written awards is limited to Claims between you and PubMatic alone. Claims may not be joined or consolidated unless agreed to in writing by all parties. No arbitration award or decision will have any preclusive effect as to issues or claims in any dispute with anyone who is not a named party to the arbitration.</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agreeing to this Arbitration Agreement does not affect your status as an at-will employee in any way. You agree and represent that you have had the opportunity to consult an attorney of your choice to obtain legal advice regarding the import and effect of this Arbitration Agreement. You acknowledge your voluntary agreement to this Arbitration Agreement by signing this letter. PubMatic reserves the right to amend this Arbitration Agreement at any time, upon reasonable notice.</w:t>
      </w:r>
    </w:p>
    <w:p>
      <w:pPr>
        <w:pStyle w:val="TextBody"/>
        <w:bidi w:val="0"/>
        <w:spacing w:before="0" w:after="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3</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a court of competent jurisdiction rules that one or more of the above terms, conditions, or provisions of this Arbitration Agreement are void or unenforceable, such term(s), condition(s), or provision(s) shall be severed and the remainder of such terms, conditions, or provisions enforced.</w:t>
      </w:r>
    </w:p>
    <w:p>
      <w:pPr>
        <w:pStyle w:val="TextBody"/>
        <w:bidi w:val="0"/>
        <w:spacing w:lineRule="auto" w:line="288" w:before="0" w:after="120"/>
        <w:jc w:val="both"/>
        <w:rPr/>
      </w:pPr>
      <w:r>
        <w:rPr>
          <w:rFonts w:ascii="Times New Roman;sans-serif" w:hAnsi="Times New Roman;sans-serif"/>
          <w:b/>
          <w:color w:val="000000"/>
          <w:sz w:val="22"/>
          <w:u w:val="single"/>
        </w:rPr>
        <w:t>Confidentiality; Compliance with Policies</w:t>
      </w:r>
      <w:r>
        <w:rPr>
          <w:rFonts w:ascii="Times New Roman;sans-serif" w:hAnsi="Times New Roman;sans-serif"/>
          <w:b w:val="false"/>
          <w:color w:val="000000"/>
          <w:sz w:val="22"/>
        </w:rPr>
        <w:t xml:space="preserve">. As an employee of the Company, you will have access to certain confidential information of the Company and you may, during the course of your employment, develop certain information or inventions that will be the property of the Company. To protect the interests of the Company, as a condition of your employment you will be required to sign the Company’s EMPLOYMENT, CONFIDENTIAL INFORMATION AND INVENTION ASSIGNMENT AGREEMENT. A copy of that agreement is attached hereto as </w:t>
      </w:r>
      <w:r>
        <w:rPr>
          <w:rFonts w:ascii="Times New Roman;sans-serif" w:hAnsi="Times New Roman;sans-serif"/>
          <w:b/>
          <w:color w:val="000000"/>
          <w:sz w:val="22"/>
        </w:rPr>
        <w:t>Exhibit C</w:t>
      </w:r>
      <w:r>
        <w:rPr>
          <w:rFonts w:ascii="Times New Roman;sans-serif" w:hAnsi="Times New Roman;sans-serif"/>
          <w:b w:val="false"/>
          <w:color w:val="000000"/>
          <w:sz w:val="22"/>
        </w:rPr>
        <w:t xml:space="preserve">. We wish to impress upon you that we do not want you to, and we hereby direct you not to bring with you any confidential or proprietary material of any former employer or to violate any other obligations you may have to any former employer. You will disclose to the Company in writing any other gainful employment, business, or activity that you are currently associated with or participate in that competes with the Company. </w:t>
      </w:r>
    </w:p>
    <w:p>
      <w:pPr>
        <w:pStyle w:val="TextBody"/>
        <w:bidi w:val="0"/>
        <w:spacing w:lineRule="auto" w:line="288" w:before="0" w:after="120"/>
        <w:jc w:val="both"/>
        <w:rPr/>
      </w:pPr>
      <w:r>
        <w:rPr>
          <w:rFonts w:ascii="Times New Roman;sans-serif" w:hAnsi="Times New Roman;sans-serif"/>
          <w:b/>
          <w:color w:val="000000"/>
          <w:sz w:val="22"/>
          <w:u w:val="single"/>
        </w:rPr>
        <w:t>Complete Agreement</w:t>
      </w:r>
      <w:r>
        <w:rPr>
          <w:rFonts w:ascii="Times New Roman;sans-serif" w:hAnsi="Times New Roman;sans-serif"/>
          <w:b w:val="false"/>
          <w:color w:val="000000"/>
          <w:sz w:val="22"/>
        </w:rPr>
        <w:t>. This offer letter (together with the EMPLOYMENT, CONFIDENTIAL INFORMATION AND INVENTION ASSIGNMENT AGREEMENT), represents the entire agreement between you and the Company with respect to the material terms and conditions of your employment, and supersedes and replaces any and all prior verbal or written discussions, negotiations and/or agreements between you and the Company relating to the subject matter hereof.</w:t>
      </w:r>
    </w:p>
    <w:p>
      <w:pPr>
        <w:pStyle w:val="TextBody"/>
        <w:bidi w:val="0"/>
        <w:spacing w:lineRule="auto" w:line="288" w:before="0" w:after="120"/>
        <w:jc w:val="both"/>
        <w:rPr/>
      </w:pPr>
      <w:r>
        <w:rPr>
          <w:rFonts w:ascii="Times New Roman;sans-serif" w:hAnsi="Times New Roman;sans-serif"/>
          <w:b/>
          <w:color w:val="000000"/>
          <w:sz w:val="22"/>
          <w:u w:val="single"/>
        </w:rPr>
        <w:t>Counterparts</w:t>
      </w:r>
      <w:r>
        <w:rPr>
          <w:rFonts w:ascii="Times New Roman;sans-serif" w:hAnsi="Times New Roman;sans-serif"/>
          <w:b w:val="false"/>
          <w:color w:val="000000"/>
          <w:sz w:val="22"/>
        </w:rPr>
        <w:t>. This offer letter may be executed (i) in counterparts, each of which shall be an original, with same effect as if the signatures hereto were on the same instrument; and (ii) by facsimile or pdf. The parties agree that such facsimile or pdf signatures shall be deemed original signatures for all purposes.</w:t>
      </w:r>
    </w:p>
    <w:p>
      <w:pPr>
        <w:pStyle w:val="TextBody"/>
        <w:bidi w:val="0"/>
        <w:spacing w:lineRule="auto" w:line="288" w:before="0" w:after="120"/>
        <w:jc w:val="both"/>
        <w:rPr/>
      </w:pPr>
      <w:r>
        <w:rPr>
          <w:rFonts w:ascii="Times New Roman;sans-serif" w:hAnsi="Times New Roman;sans-serif"/>
          <w:b/>
          <w:color w:val="000000"/>
          <w:sz w:val="22"/>
          <w:u w:val="single"/>
        </w:rPr>
        <w:t>Acceptance</w:t>
      </w:r>
      <w:r>
        <w:rPr>
          <w:rFonts w:ascii="Times New Roman;sans-serif" w:hAnsi="Times New Roman;sans-serif"/>
          <w:b w:val="false"/>
          <w:color w:val="000000"/>
          <w:sz w:val="22"/>
        </w:rPr>
        <w:t>. If you decide to accept our offer, and I hope you will, please sign the enclosed copy of this letter in the space indicated. Your signature will acknowledge that you have read and understood and agreed to the terms and conditions of this offer letter and the attached documents. This offer is contingent upon successful completion of a background investigation</w:t>
      </w:r>
      <w:r>
        <w:rPr>
          <w:color w:val="000000"/>
        </w:rPr>
        <w:t xml:space="preserve"> </w:t>
      </w:r>
      <w:r>
        <w:rPr>
          <w:rFonts w:ascii="Times New Roman;sans-serif" w:hAnsi="Times New Roman;sans-serif"/>
          <w:b w:val="false"/>
          <w:color w:val="000000"/>
          <w:sz w:val="22"/>
        </w:rPr>
        <w:t xml:space="preserve">and reference checks. </w:t>
      </w:r>
    </w:p>
    <w:p>
      <w:pPr>
        <w:pStyle w:val="TextBody"/>
        <w:bidi w:val="0"/>
        <w:spacing w:lineRule="auto" w:line="288" w:before="0" w:after="120"/>
        <w:jc w:val="both"/>
        <w:rPr/>
      </w:pPr>
      <w:r>
        <w:rPr>
          <w:rFonts w:ascii="Times New Roman;sans-serif" w:hAnsi="Times New Roman;sans-serif"/>
          <w:b/>
          <w:color w:val="000000"/>
          <w:sz w:val="22"/>
          <w:u w:val="single"/>
        </w:rPr>
        <w:t>Electronic Signature Affirmation</w:t>
      </w:r>
      <w:r>
        <w:rPr>
          <w:rFonts w:ascii="Times New Roman;sans-serif" w:hAnsi="Times New Roman;sans-serif"/>
          <w:b w:val="false"/>
          <w:color w:val="000000"/>
          <w:sz w:val="22"/>
        </w:rPr>
        <w:t>. If signed electronically, I agree, and it is my intent, to sign this record/document and affirmation by electronic signature such as AdobeSign or DocuSign and by electronically submitting this record/document to the Company. I understand that my signing and submitting this record/document in this fashion is the legal equivalent of having placed my handwritten signature on the submitted record/document and this affirmation. I understand and agree that by electronically signing and submitting this record/document in this fashion I am affirming the truth of the information contained herein.</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We look forward to the opportunity to welcome you to the Company.</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p>
      <w:pPr>
        <w:pStyle w:val="TextBody"/>
        <w:bidi w:val="0"/>
        <w:spacing w:before="0" w:after="120"/>
        <w:jc w:val="both"/>
        <w:rPr/>
      </w:pPr>
      <w:r>
        <w:rPr/>
      </w:r>
    </w:p>
    <w:p>
      <w:pPr>
        <w:pStyle w:val="TextBody"/>
        <w:bidi w:val="0"/>
        <w:spacing w:lineRule="auto" w:line="288" w:before="0" w:after="120"/>
        <w:jc w:val="both"/>
        <w:rPr/>
      </w:pPr>
      <w:r>
        <w:rPr>
          <w:rFonts w:ascii="Times New Roman;sans-serif" w:hAnsi="Times New Roman;sans-serif"/>
          <w:b w:val="false"/>
          <w:color w:val="000000"/>
          <w:sz w:val="22"/>
        </w:rPr>
        <w:t>_</w:t>
      </w:r>
      <w:r>
        <w:rPr>
          <w:rFonts w:ascii="Times New Roman;sans-serif" w:hAnsi="Times New Roman;sans-serif"/>
          <w:b w:val="false"/>
          <w:color w:val="000000"/>
          <w:sz w:val="22"/>
          <w:u w:val="single"/>
        </w:rPr>
        <w:t>/s/ Rajeev Goel</w:t>
      </w:r>
      <w:r>
        <w:rPr>
          <w:rFonts w:ascii="Times New Roman;sans-serif" w:hAnsi="Times New Roman;sans-serif"/>
          <w:b w:val="false"/>
          <w:color w:val="000000"/>
          <w:sz w:val="22"/>
        </w:rPr>
        <w:t>_______</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Rajeev Goel</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Co-founder &amp; CEO </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4</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provisions of this offer of employment have been read, are understood, and the offer is herewith accepted. I understand that my employment is contingent upon completion of the attached Criminal Background Questionnaire, eligibility to work in the United States, execution of the “Employment, Confidential Information and Invention Assignment Agreement,” or any other contingencies the employer needs to include and may also be subject to background and reference checks. You are hereby advised that nothing in this offer of employment, Arbitration Agreement, or “Employment, Confidential Information and Invention Assignment Agreement” precludes you from speaking with or filing a charge with any federal, state, or local agency authorized to enforce the law, including without limitation, the U.S. Equal Employment Opportunity Commission, the National Labor Relations Board, the Securities and Exchange Commission, state or local human rights agencies, or an attorney retained by you. </w:t>
      </w:r>
    </w:p>
    <w:p>
      <w:pPr>
        <w:pStyle w:val="TextBody"/>
        <w:bidi w:val="0"/>
        <w:spacing w:lineRule="auto" w:line="288" w:before="0" w:after="120"/>
        <w:jc w:val="both"/>
        <w:rPr/>
      </w:pPr>
      <w:r>
        <w:rPr>
          <w:rFonts w:ascii="Times New Roman;sans-serif" w:hAnsi="Times New Roman;sans-serif"/>
          <w:b w:val="false"/>
          <w:color w:val="000000"/>
          <w:sz w:val="22"/>
        </w:rPr>
        <w:t>This offer shall remain open until Tuesday, May 16</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2023. Any acceptance received after this date will be considered invalid. </w:t>
      </w:r>
    </w:p>
    <w:p>
      <w:pPr>
        <w:pStyle w:val="TextBody"/>
        <w:bidi w:val="0"/>
        <w:spacing w:lineRule="auto" w:line="288" w:before="0" w:after="120"/>
        <w:jc w:val="both"/>
        <w:rPr/>
      </w:pPr>
      <w:r>
        <w:rPr>
          <w:rFonts w:ascii="Times New Roman;sans-serif" w:hAnsi="Times New Roman;sans-serif"/>
          <w:b w:val="false"/>
          <w:color w:val="000000"/>
          <w:sz w:val="22"/>
        </w:rPr>
        <w:t>I, ____</w:t>
      </w:r>
      <w:r>
        <w:rPr>
          <w:rFonts w:ascii="Times New Roman;sans-serif" w:hAnsi="Times New Roman;sans-serif"/>
          <w:b w:val="false"/>
          <w:color w:val="000000"/>
          <w:sz w:val="22"/>
          <w:u w:val="single"/>
        </w:rPr>
        <w:t>Lisa Gimbel</w:t>
      </w:r>
      <w:r>
        <w:rPr>
          <w:rFonts w:ascii="Times New Roman;sans-serif" w:hAnsi="Times New Roman;sans-serif"/>
          <w:b w:val="false"/>
          <w:color w:val="000000"/>
          <w:sz w:val="22"/>
        </w:rPr>
        <w:t>_______________________, accept this offer on __</w:t>
      </w:r>
      <w:r>
        <w:rPr>
          <w:rFonts w:ascii="Times New Roman;sans-serif" w:hAnsi="Times New Roman;sans-serif"/>
          <w:b w:val="false"/>
          <w:color w:val="000000"/>
          <w:sz w:val="22"/>
          <w:u w:val="single"/>
        </w:rPr>
        <w:t>May 12, 2023</w:t>
      </w:r>
      <w:r>
        <w:rPr>
          <w:rFonts w:ascii="Times New Roman;sans-serif" w:hAnsi="Times New Roman;sans-serif"/>
          <w:b w:val="false"/>
          <w:color w:val="000000"/>
          <w:sz w:val="22"/>
        </w:rPr>
        <w:t xml:space="preserve">_________ </w:t>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120"/>
        <w:jc w:val="both"/>
        <w:rPr/>
      </w:pPr>
      <w:r>
        <w:rPr>
          <w:rFonts w:ascii="Times New Roman;sans-serif" w:hAnsi="Times New Roman;sans-serif"/>
          <w:b w:val="false"/>
          <w:color w:val="000000"/>
          <w:sz w:val="22"/>
          <w:u w:val="single"/>
        </w:rPr>
        <w:t>/s/ Lisa Gimbel</w:t>
      </w:r>
      <w:r>
        <w:rPr>
          <w:rFonts w:ascii="Times New Roman;sans-serif" w:hAnsi="Times New Roman;sans-serif"/>
          <w:b w:val="false"/>
          <w:color w:val="000000"/>
          <w:sz w:val="22"/>
        </w:rPr>
        <w:t>_____________________</w:t>
        <w:br/>
        <w:t xml:space="preserve">Signature </w:t>
      </w:r>
    </w:p>
    <w:p>
      <w:pPr>
        <w:pStyle w:val="TextBody"/>
        <w:bidi w:val="0"/>
        <w:spacing w:lineRule="auto" w:line="288" w:before="0" w:after="120"/>
        <w:jc w:val="left"/>
        <w:rPr/>
      </w:pPr>
      <w:r>
        <w:rPr>
          <w:rFonts w:ascii="Times New Roman;sans-serif" w:hAnsi="Times New Roman;sans-serif"/>
          <w:b w:val="false"/>
          <w:color w:val="000000"/>
          <w:sz w:val="22"/>
        </w:rPr>
        <w:t>Actual start date: __</w:t>
      </w:r>
      <w:r>
        <w:rPr>
          <w:rFonts w:ascii="Times New Roman;sans-serif" w:hAnsi="Times New Roman;sans-serif"/>
          <w:b w:val="false"/>
          <w:color w:val="000000"/>
          <w:sz w:val="22"/>
          <w:u w:val="single"/>
        </w:rPr>
        <w:t>June 5, 2023</w:t>
      </w:r>
      <w:r>
        <w:rPr>
          <w:rFonts w:ascii="Times New Roman;sans-serif" w:hAnsi="Times New Roman;sans-serif"/>
          <w:b w:val="false"/>
          <w:color w:val="000000"/>
          <w:sz w:val="22"/>
        </w:rPr>
        <w:t>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2"/>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Rajeev K. Goel,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left"/>
        <w:rPr/>
      </w:pPr>
      <w:r>
        <w:rPr/>
      </w:r>
    </w:p>
    <w:tbl>
      <w:tblPr>
        <w:tblW w:w="4453" w:type="dxa"/>
        <w:jc w:val="left"/>
        <w:tblInd w:w="0" w:type="dxa"/>
        <w:tblLayout w:type="fixed"/>
        <w:tblCellMar>
          <w:top w:w="28" w:type="dxa"/>
          <w:left w:w="28" w:type="dxa"/>
          <w:bottom w:w="28" w:type="dxa"/>
          <w:right w:w="28" w:type="dxa"/>
        </w:tblCellMar>
      </w:tblPr>
      <w:tblGrid>
        <w:gridCol w:w="705"/>
        <w:gridCol w:w="619"/>
        <w:gridCol w:w="625"/>
        <w:gridCol w:w="731"/>
        <w:gridCol w:w="731"/>
        <w:gridCol w:w="104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Rajeev K. Goel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2"/>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Pantelick,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
        <w:jc w:val="both"/>
        <w:rPr/>
      </w:pPr>
      <w:r>
        <w:rPr/>
      </w:r>
    </w:p>
    <w:p>
      <w:pPr>
        <w:pStyle w:val="TextBody"/>
        <w:bidi w:val="0"/>
        <w:spacing w:lineRule="auto" w:line="300" w:before="0" w:after="2"/>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left"/>
        <w:rPr/>
      </w:pPr>
      <w:r>
        <w:rPr/>
      </w:r>
    </w:p>
    <w:tbl>
      <w:tblPr>
        <w:tblW w:w="4469" w:type="dxa"/>
        <w:jc w:val="left"/>
        <w:tblInd w:w="0" w:type="dxa"/>
        <w:tblLayout w:type="fixed"/>
        <w:tblCellMar>
          <w:top w:w="28" w:type="dxa"/>
          <w:left w:w="28" w:type="dxa"/>
          <w:bottom w:w="28" w:type="dxa"/>
          <w:right w:w="28" w:type="dxa"/>
        </w:tblCellMar>
      </w:tblPr>
      <w:tblGrid>
        <w:gridCol w:w="705"/>
        <w:gridCol w:w="619"/>
        <w:gridCol w:w="625"/>
        <w:gridCol w:w="737"/>
        <w:gridCol w:w="737"/>
        <w:gridCol w:w="104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EXECUTIVE OFFICER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Rajeev K. Goel, Chief Executive Officer of PubMatic, Inc. (the “Company”), do hereby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Quarterly Report on Form 10-Q of the Company for the fiscal quarter ended June 30, 2023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453" w:type="dxa"/>
        <w:jc w:val="left"/>
        <w:tblInd w:w="0" w:type="dxa"/>
        <w:tblLayout w:type="fixed"/>
        <w:tblCellMar>
          <w:top w:w="28" w:type="dxa"/>
          <w:left w:w="28" w:type="dxa"/>
          <w:bottom w:w="28" w:type="dxa"/>
          <w:right w:w="28" w:type="dxa"/>
        </w:tblCellMar>
      </w:tblPr>
      <w:tblGrid>
        <w:gridCol w:w="705"/>
        <w:gridCol w:w="619"/>
        <w:gridCol w:w="625"/>
        <w:gridCol w:w="731"/>
        <w:gridCol w:w="731"/>
        <w:gridCol w:w="104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Rajeev K. Goel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FINANCIAL OFFICER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Pantelick, Chief Financial Officer of PubMatic, Inc. (the “Company”), do hereby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Quarterly Report on Form 10-Q of the Company for the fiscal quarter ended June 30, 2023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469" w:type="dxa"/>
        <w:jc w:val="left"/>
        <w:tblInd w:w="0" w:type="dxa"/>
        <w:tblLayout w:type="fixed"/>
        <w:tblCellMar>
          <w:top w:w="28" w:type="dxa"/>
          <w:left w:w="28" w:type="dxa"/>
          <w:bottom w:w="28" w:type="dxa"/>
          <w:right w:w="28" w:type="dxa"/>
        </w:tblCellMar>
      </w:tblPr>
      <w:tblGrid>
        <w:gridCol w:w="705"/>
        <w:gridCol w:w="619"/>
        <w:gridCol w:w="625"/>
        <w:gridCol w:w="737"/>
        <w:gridCol w:w="737"/>
        <w:gridCol w:w="104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42314</Words>
  <Characters>235828</Characters>
  <CharactersWithSpaces>276444</CharactersWithSpaces>
  <Paragraphs>2898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