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120" w:after="283"/>
        <w:jc w:val="left"/>
        <w:rPr/>
      </w:pPr>
      <w:r>
        <w:rPr>
          <w:rFonts w:ascii="Wingdings;sans-serif" w:hAnsi="Wingdings;sans-serif"/>
          <w:b/>
          <w:color w:val="000000"/>
          <w:sz w:val="20"/>
        </w:rPr>
        <w:t>x</w:t>
      </w: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br/>
        <w:t>or</w:t>
      </w:r>
    </w:p>
    <w:p>
      <w:pPr>
        <w:pStyle w:val="TextBody"/>
        <w:bidi w:val="0"/>
        <w:spacing w:lineRule="auto" w:line="288" w:before="120" w:after="283"/>
        <w:jc w:val="left"/>
        <w:rPr/>
      </w:pPr>
      <w:r>
        <w:rPr>
          <w:rFonts w:ascii="Wingdings;sans-serif" w:hAnsi="Wingdings;sans-serif"/>
          <w:b/>
          <w:color w:val="000000"/>
          <w:sz w:val="20"/>
        </w:rPr>
        <w:t>o</w:t>
      </w: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from________to________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001-39748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PUBMATIC, INC.</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354" w:type="dxa"/>
        <w:jc w:val="left"/>
        <w:tblInd w:w="0" w:type="dxa"/>
        <w:tblLayout w:type="fixed"/>
        <w:tblCellMar>
          <w:top w:w="28" w:type="dxa"/>
          <w:left w:w="28" w:type="dxa"/>
          <w:bottom w:w="28" w:type="dxa"/>
          <w:right w:w="28" w:type="dxa"/>
        </w:tblCellMar>
      </w:tblPr>
      <w:tblGrid>
        <w:gridCol w:w="1795"/>
        <w:gridCol w:w="1577"/>
        <w:gridCol w:w="1593"/>
        <w:gridCol w:w="989"/>
        <w:gridCol w:w="989"/>
        <w:gridCol w:w="141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20-5863224</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389" w:type="dxa"/>
            <w:gridSpan w:val="3"/>
            <w:tcBorders/>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38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614" w:type="dxa"/>
        <w:jc w:val="left"/>
        <w:tblInd w:w="0" w:type="dxa"/>
        <w:tblLayout w:type="fixed"/>
        <w:tblCellMar>
          <w:top w:w="28" w:type="dxa"/>
          <w:left w:w="28" w:type="dxa"/>
          <w:bottom w:w="28" w:type="dxa"/>
          <w:right w:w="28" w:type="dxa"/>
        </w:tblCellMar>
      </w:tblPr>
      <w:tblGrid>
        <w:gridCol w:w="1550"/>
        <w:gridCol w:w="1362"/>
        <w:gridCol w:w="1378"/>
        <w:gridCol w:w="499"/>
        <w:gridCol w:w="499"/>
        <w:gridCol w:w="501"/>
        <w:gridCol w:w="1118"/>
        <w:gridCol w:w="1118"/>
        <w:gridCol w:w="1589"/>
      </w:tblGrid>
      <w:tr>
        <w:trPr/>
        <w:tc>
          <w:tcPr>
            <w:tcW w:w="155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PUBM</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p>
      <w:pPr>
        <w:pStyle w:val="TextBody"/>
        <w:bidi w:val="0"/>
        <w:spacing w:lineRule="auto" w:line="288" w:before="10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0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58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0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5, 2024, the registrant had 39,474,129 shares of Class A common stock outstanding and 8,292,615 shares of Class B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center"/>
        <w:rPr/>
      </w:pPr>
      <w:r>
        <w:rPr/>
      </w:r>
    </w:p>
    <w:tbl>
      <w:tblPr>
        <w:tblW w:w="9779" w:type="dxa"/>
        <w:jc w:val="left"/>
        <w:tblInd w:w="0" w:type="dxa"/>
        <w:tblLayout w:type="fixed"/>
        <w:tblCellMar>
          <w:top w:w="28" w:type="dxa"/>
          <w:left w:w="28" w:type="dxa"/>
          <w:bottom w:w="28" w:type="dxa"/>
          <w:right w:w="28" w:type="dxa"/>
        </w:tblCellMar>
      </w:tblPr>
      <w:tblGrid>
        <w:gridCol w:w="416"/>
        <w:gridCol w:w="365"/>
        <w:gridCol w:w="365"/>
        <w:gridCol w:w="2452"/>
        <w:gridCol w:w="2452"/>
        <w:gridCol w:w="2460"/>
        <w:gridCol w:w="365"/>
        <w:gridCol w:w="365"/>
        <w:gridCol w:w="539"/>
      </w:tblGrid>
      <w:tr>
        <w:trPr/>
        <w:tc>
          <w:tcPr>
            <w:tcW w:w="4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9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779" w:type="dxa"/>
            <w:gridSpan w:val="9"/>
            <w:tcBorders/>
            <w:tcMar>
              <w:top w:w="0" w:type="dxa"/>
              <w:left w:w="0" w:type="dxa"/>
              <w:bottom w:w="0" w:type="dxa"/>
              <w:right w:w="0" w:type="dxa"/>
            </w:tcMar>
            <w:vAlign w:val="center"/>
          </w:tcPr>
          <w:p>
            <w:pPr>
              <w:pStyle w:val="TableContents"/>
              <w:bidi w:val="0"/>
              <w:spacing w:lineRule="auto" w:line="256" w:before="120" w:after="283"/>
              <w:jc w:val="center"/>
              <w:rPr/>
            </w:pPr>
            <w:hyperlink w:anchor="i31315b8f3d6e4649bf517c49f88f1517_10">
              <w:r>
                <w:rPr>
                  <w:rStyle w:val="InternetLink"/>
                  <w:rFonts w:ascii="Times New Roman;sans-serif" w:hAnsi="Times New Roman;sans-serif"/>
                  <w:b/>
                  <w:color w:val="0000FF"/>
                  <w:sz w:val="20"/>
                  <w:u w:val="single"/>
                </w:rPr>
                <w:t>PART I - FINANCIAL INFORMATION</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13">
              <w:r>
                <w:rPr>
                  <w:rStyle w:val="InternetLink"/>
                  <w:rFonts w:ascii="Times New Roman;sans-serif" w:hAnsi="Times New Roman;sans-serif"/>
                  <w:b/>
                  <w:color w:val="0000FF"/>
                  <w:sz w:val="20"/>
                  <w:u w:val="single"/>
                </w:rPr>
                <w:t>Condensed Consolidated Financial Statements (Unaudited)</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13">
              <w:r>
                <w:rPr>
                  <w:rStyle w:val="InternetLink"/>
                  <w:rFonts w:ascii="Times New Roman;sans-serif" w:hAnsi="Times New Roman;sans-serif"/>
                  <w:b w:val="false"/>
                  <w:color w:val="0000FF"/>
                  <w:sz w:val="20"/>
                  <w:u w:val="single"/>
                </w:rPr>
                <w:t>1</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16">
              <w:r>
                <w:rPr>
                  <w:rStyle w:val="InternetLink"/>
                  <w:rFonts w:ascii="Times New Roman;sans-serif" w:hAnsi="Times New Roman;sans-serif"/>
                  <w:b w:val="false"/>
                  <w:color w:val="0000FF"/>
                  <w:sz w:val="20"/>
                  <w:u w:val="single"/>
                </w:rPr>
                <w:t>Condensed Consolidated Balance Sheets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16">
              <w:r>
                <w:rPr>
                  <w:rStyle w:val="InternetLink"/>
                  <w:rFonts w:ascii="Times New Roman;sans-serif" w:hAnsi="Times New Roman;sans-serif"/>
                  <w:b w:val="false"/>
                  <w:color w:val="0000FF"/>
                  <w:sz w:val="20"/>
                  <w:u w:val="single"/>
                </w:rPr>
                <w:t>1</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19">
              <w:r>
                <w:rPr>
                  <w:rStyle w:val="InternetLink"/>
                  <w:rFonts w:ascii="Times New Roman;sans-serif" w:hAnsi="Times New Roman;sans-serif"/>
                  <w:b w:val="false"/>
                  <w:color w:val="0000FF"/>
                  <w:sz w:val="20"/>
                  <w:u w:val="single"/>
                </w:rPr>
                <w:t>Condensed Consolidated Statements of Operations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19">
              <w:r>
                <w:rPr>
                  <w:rStyle w:val="InternetLink"/>
                  <w:rFonts w:ascii="Times New Roman;sans-serif" w:hAnsi="Times New Roman;sans-serif"/>
                  <w:b w:val="false"/>
                  <w:color w:val="0000FF"/>
                  <w:sz w:val="20"/>
                  <w:u w:val="single"/>
                </w:rPr>
                <w:t>2</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22">
              <w:r>
                <w:rPr>
                  <w:rStyle w:val="InternetLink"/>
                  <w:rFonts w:ascii="Times New Roman;sans-serif" w:hAnsi="Times New Roman;sans-serif"/>
                  <w:b w:val="false"/>
                  <w:color w:val="000080"/>
                  <w:sz w:val="20"/>
                  <w:u w:val="single"/>
                </w:rPr>
                <w:t xml:space="preserve">Condensed Consolidated Statements of Comprehensive </w:t>
              </w:r>
            </w:hyperlink>
            <w:hyperlink w:anchor="i31315b8f3d6e4649bf517c49f88f1517_22">
              <w:r>
                <w:rPr>
                  <w:rStyle w:val="InternetLink"/>
                  <w:rFonts w:ascii="Times New Roman;sans-serif" w:hAnsi="Times New Roman;sans-serif"/>
                  <w:b w:val="false"/>
                  <w:color w:val="000080"/>
                  <w:sz w:val="20"/>
                  <w:u w:val="single"/>
                </w:rPr>
                <w:t>Income (</w:t>
              </w:r>
            </w:hyperlink>
            <w:hyperlink w:anchor="i31315b8f3d6e4649bf517c49f88f1517_22">
              <w:r>
                <w:rPr>
                  <w:rStyle w:val="InternetLink"/>
                  <w:rFonts w:ascii="Times New Roman;sans-serif" w:hAnsi="Times New Roman;sans-serif"/>
                  <w:b w:val="false"/>
                  <w:color w:val="000080"/>
                  <w:sz w:val="20"/>
                  <w:u w:val="single"/>
                </w:rPr>
                <w:t>Loss</w:t>
              </w:r>
            </w:hyperlink>
            <w:r>
              <w:rPr>
                <w:rFonts w:ascii="Times New Roman;sans-serif" w:hAnsi="Times New Roman;sans-serif"/>
                <w:b w:val="false"/>
                <w:color w:val="000000"/>
                <w:sz w:val="20"/>
              </w:rPr>
              <w:t>)</w:t>
            </w:r>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22">
              <w:r>
                <w:rPr>
                  <w:rStyle w:val="InternetLink"/>
                  <w:rFonts w:ascii="Times New Roman;sans-serif" w:hAnsi="Times New Roman;sans-serif"/>
                  <w:b w:val="false"/>
                  <w:color w:val="0000FF"/>
                  <w:sz w:val="20"/>
                  <w:u w:val="single"/>
                </w:rPr>
                <w:t>3</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25">
              <w:r>
                <w:rPr>
                  <w:rStyle w:val="InternetLink"/>
                  <w:rFonts w:ascii="Times New Roman;sans-serif" w:hAnsi="Times New Roman;sans-serif"/>
                  <w:b w:val="false"/>
                  <w:color w:val="0000FF"/>
                  <w:sz w:val="20"/>
                  <w:u w:val="single"/>
                </w:rPr>
                <w:t>Condensed Consolidated Statements of Stockholders’ Equity</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25">
              <w:r>
                <w:rPr>
                  <w:rStyle w:val="InternetLink"/>
                  <w:rFonts w:ascii="Times New Roman;sans-serif" w:hAnsi="Times New Roman;sans-serif"/>
                  <w:b w:val="false"/>
                  <w:color w:val="0000FF"/>
                  <w:sz w:val="20"/>
                  <w:u w:val="single"/>
                </w:rPr>
                <w:t>4</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28">
              <w:r>
                <w:rPr>
                  <w:rStyle w:val="InternetLink"/>
                  <w:rFonts w:ascii="Times New Roman;sans-serif" w:hAnsi="Times New Roman;sans-serif"/>
                  <w:b w:val="false"/>
                  <w:color w:val="0000FF"/>
                  <w:sz w:val="20"/>
                  <w:u w:val="single"/>
                </w:rPr>
                <w:t>Condensed Consolidated Statements of Cash Flows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28">
              <w:r>
                <w:rPr>
                  <w:rStyle w:val="InternetLink"/>
                  <w:rFonts w:ascii="Times New Roman;sans-serif" w:hAnsi="Times New Roman;sans-serif"/>
                  <w:b w:val="false"/>
                  <w:color w:val="0000FF"/>
                  <w:sz w:val="20"/>
                  <w:u w:val="single"/>
                </w:rPr>
                <w:t>6</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31">
              <w:r>
                <w:rPr>
                  <w:rStyle w:val="InternetLink"/>
                  <w:rFonts w:ascii="Times New Roman;sans-serif" w:hAnsi="Times New Roman;sans-serif"/>
                  <w:b w:val="false"/>
                  <w:color w:val="0000FF"/>
                  <w:sz w:val="20"/>
                  <w:u w:val="single"/>
                </w:rPr>
                <w:t>Notes to Condensed Consolidated Financial Statements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31">
              <w:r>
                <w:rPr>
                  <w:rStyle w:val="InternetLink"/>
                  <w:rFonts w:ascii="Times New Roman;sans-serif" w:hAnsi="Times New Roman;sans-serif"/>
                  <w:b w:val="false"/>
                  <w:color w:val="0000FF"/>
                  <w:sz w:val="20"/>
                  <w:u w:val="single"/>
                </w:rPr>
                <w:t>7</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79">
              <w:r>
                <w:rPr>
                  <w:rStyle w:val="InternetLink"/>
                  <w:rFonts w:ascii="Times New Roman;sans-serif" w:hAnsi="Times New Roman;sans-serif"/>
                  <w:b w:val="false"/>
                  <w:color w:val="0000FF"/>
                  <w:sz w:val="20"/>
                  <w:u w:val="single"/>
                </w:rPr>
                <w:t>19</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109">
              <w:r>
                <w:rPr>
                  <w:rStyle w:val="InternetLink"/>
                  <w:rFonts w:ascii="Times New Roman;sans-serif" w:hAnsi="Times New Roman;sans-serif"/>
                  <w:b w:val="false"/>
                  <w:color w:val="0000FF"/>
                  <w:sz w:val="20"/>
                  <w:u w:val="single"/>
                </w:rPr>
                <w:t>Quantitative and Qualitative Disclosures About Market Risk</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109">
              <w:r>
                <w:rPr>
                  <w:rStyle w:val="InternetLink"/>
                  <w:rFonts w:ascii="Times New Roman;sans-serif" w:hAnsi="Times New Roman;sans-serif"/>
                  <w:b w:val="false"/>
                  <w:color w:val="0000FF"/>
                  <w:sz w:val="20"/>
                  <w:u w:val="single"/>
                </w:rPr>
                <w:t>33</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112">
              <w:r>
                <w:rPr>
                  <w:rStyle w:val="InternetLink"/>
                  <w:rFonts w:ascii="Times New Roman;sans-serif" w:hAnsi="Times New Roman;sans-serif"/>
                  <w:b w:val="false"/>
                  <w:color w:val="0000FF"/>
                  <w:sz w:val="20"/>
                  <w:u w:val="single"/>
                </w:rPr>
                <w:t>Controls and Procedures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112">
              <w:r>
                <w:rPr>
                  <w:rStyle w:val="InternetLink"/>
                  <w:rFonts w:ascii="Times New Roman;sans-serif" w:hAnsi="Times New Roman;sans-serif"/>
                  <w:b w:val="false"/>
                  <w:color w:val="0000FF"/>
                  <w:sz w:val="20"/>
                  <w:u w:val="single"/>
                </w:rPr>
                <w:t>33</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9" w:type="dxa"/>
            <w:gridSpan w:val="9"/>
            <w:tcBorders/>
            <w:tcMar>
              <w:top w:w="0" w:type="dxa"/>
              <w:left w:w="0" w:type="dxa"/>
              <w:bottom w:w="0" w:type="dxa"/>
              <w:right w:w="0" w:type="dxa"/>
            </w:tcMar>
            <w:vAlign w:val="center"/>
          </w:tcPr>
          <w:p>
            <w:pPr>
              <w:pStyle w:val="TableContents"/>
              <w:bidi w:val="0"/>
              <w:spacing w:lineRule="auto" w:line="256" w:before="120" w:after="283"/>
              <w:jc w:val="center"/>
              <w:rPr/>
            </w:pPr>
            <w:hyperlink w:anchor="i31315b8f3d6e4649bf517c49f88f1517_115">
              <w:r>
                <w:rPr>
                  <w:rStyle w:val="InternetLink"/>
                  <w:rFonts w:ascii="Times New Roman;sans-serif" w:hAnsi="Times New Roman;sans-serif"/>
                  <w:b/>
                  <w:color w:val="0000FF"/>
                  <w:sz w:val="20"/>
                  <w:u w:val="single"/>
                </w:rPr>
                <w:t>PART II - OTHER INFORMATION</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118">
              <w:r>
                <w:rPr>
                  <w:rStyle w:val="InternetLink"/>
                  <w:rFonts w:ascii="Times New Roman;sans-serif" w:hAnsi="Times New Roman;sans-serif"/>
                  <w:b w:val="false"/>
                  <w:color w:val="0000FF"/>
                  <w:sz w:val="20"/>
                  <w:u w:val="single"/>
                </w:rPr>
                <w:t>Legal Proceedings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118">
              <w:r>
                <w:rPr>
                  <w:rStyle w:val="InternetLink"/>
                  <w:rFonts w:ascii="Times New Roman;sans-serif" w:hAnsi="Times New Roman;sans-serif"/>
                  <w:b w:val="false"/>
                  <w:color w:val="0000FF"/>
                  <w:sz w:val="20"/>
                  <w:u w:val="single"/>
                </w:rPr>
                <w:t>35</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121">
              <w:r>
                <w:rPr>
                  <w:rStyle w:val="InternetLink"/>
                  <w:rFonts w:ascii="Times New Roman;sans-serif" w:hAnsi="Times New Roman;sans-serif"/>
                  <w:b w:val="false"/>
                  <w:color w:val="0000FF"/>
                  <w:sz w:val="20"/>
                  <w:u w:val="single"/>
                </w:rPr>
                <w:t>Risk Factors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121">
              <w:r>
                <w:rPr>
                  <w:rStyle w:val="InternetLink"/>
                  <w:rFonts w:ascii="Times New Roman;sans-serif" w:hAnsi="Times New Roman;sans-serif"/>
                  <w:b w:val="false"/>
                  <w:color w:val="0000FF"/>
                  <w:sz w:val="20"/>
                  <w:u w:val="single"/>
                </w:rPr>
                <w:t>35</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124">
              <w:r>
                <w:rPr>
                  <w:rStyle w:val="InternetLink"/>
                  <w:rFonts w:ascii="Times New Roman;sans-serif" w:hAnsi="Times New Roman;sans-serif"/>
                  <w:b w:val="false"/>
                  <w:color w:val="0000FF"/>
                  <w:sz w:val="20"/>
                  <w:u w:val="single"/>
                </w:rPr>
                <w:t>Unregistered Sales of Equity Securities and Use of Proceeds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124">
              <w:r>
                <w:rPr>
                  <w:rStyle w:val="InternetLink"/>
                  <w:rFonts w:ascii="Times New Roman;sans-serif" w:hAnsi="Times New Roman;sans-serif"/>
                  <w:b w:val="false"/>
                  <w:color w:val="0000FF"/>
                  <w:sz w:val="20"/>
                  <w:u w:val="single"/>
                </w:rPr>
                <w:t>38</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127">
              <w:r>
                <w:rPr>
                  <w:rStyle w:val="InternetLink"/>
                  <w:rFonts w:ascii="Times New Roman;sans-serif" w:hAnsi="Times New Roman;sans-serif"/>
                  <w:b w:val="false"/>
                  <w:color w:val="0000FF"/>
                  <w:sz w:val="20"/>
                  <w:u w:val="single"/>
                </w:rPr>
                <w:t>Defaults Upon Senior Securities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127">
              <w:r>
                <w:rPr>
                  <w:rStyle w:val="InternetLink"/>
                  <w:rFonts w:ascii="Times New Roman;sans-serif" w:hAnsi="Times New Roman;sans-serif"/>
                  <w:b w:val="false"/>
                  <w:color w:val="0000FF"/>
                  <w:sz w:val="20"/>
                  <w:u w:val="single"/>
                </w:rPr>
                <w:t>38</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130">
              <w:r>
                <w:rPr>
                  <w:rStyle w:val="InternetLink"/>
                  <w:rFonts w:ascii="Times New Roman;sans-serif" w:hAnsi="Times New Roman;sans-serif"/>
                  <w:b w:val="false"/>
                  <w:color w:val="0000FF"/>
                  <w:sz w:val="20"/>
                  <w:u w:val="single"/>
                </w:rPr>
                <w:t>Mine Safety Disclosures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130">
              <w:r>
                <w:rPr>
                  <w:rStyle w:val="InternetLink"/>
                  <w:rFonts w:ascii="Times New Roman;sans-serif" w:hAnsi="Times New Roman;sans-serif"/>
                  <w:b w:val="false"/>
                  <w:color w:val="0000FF"/>
                  <w:sz w:val="20"/>
                  <w:u w:val="single"/>
                </w:rPr>
                <w:t>38</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133">
              <w:r>
                <w:rPr>
                  <w:rStyle w:val="InternetLink"/>
                  <w:rFonts w:ascii="Times New Roman;sans-serif" w:hAnsi="Times New Roman;sans-serif"/>
                  <w:b w:val="false"/>
                  <w:color w:val="0000FF"/>
                  <w:sz w:val="20"/>
                  <w:u w:val="single"/>
                </w:rPr>
                <w:t>Other Information</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133">
              <w:r>
                <w:rPr>
                  <w:rStyle w:val="InternetLink"/>
                  <w:rFonts w:ascii="Times New Roman;sans-serif" w:hAnsi="Times New Roman;sans-serif"/>
                  <w:b w:val="false"/>
                  <w:color w:val="0000FF"/>
                  <w:sz w:val="20"/>
                  <w:u w:val="single"/>
                </w:rPr>
                <w:t>39</w:t>
              </w:r>
            </w:hyperlink>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6. </w:t>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139">
              <w:r>
                <w:rPr>
                  <w:rStyle w:val="InternetLink"/>
                  <w:rFonts w:ascii="Times New Roman;sans-serif" w:hAnsi="Times New Roman;sans-serif"/>
                  <w:b w:val="false"/>
                  <w:color w:val="0000FF"/>
                  <w:sz w:val="20"/>
                  <w:u w:val="single"/>
                </w:rPr>
                <w:t>Exhibits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139">
              <w:r>
                <w:rPr>
                  <w:rStyle w:val="InternetLink"/>
                  <w:rFonts w:ascii="Times New Roman;sans-serif" w:hAnsi="Times New Roman;sans-serif"/>
                  <w:b w:val="false"/>
                  <w:color w:val="0000FF"/>
                  <w:sz w:val="20"/>
                  <w:u w:val="single"/>
                </w:rPr>
                <w:t>40</w:t>
              </w:r>
            </w:hyperlink>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31315b8f3d6e4649bf517c49f88f1517_142">
              <w:r>
                <w:rPr>
                  <w:rStyle w:val="InternetLink"/>
                  <w:rFonts w:ascii="Times New Roman;sans-serif" w:hAnsi="Times New Roman;sans-serif"/>
                  <w:b w:val="false"/>
                  <w:color w:val="0000FF"/>
                  <w:sz w:val="20"/>
                  <w:u w:val="single"/>
                </w:rPr>
                <w:t>Signatures</w:t>
              </w:r>
            </w:hyperlink>
          </w:p>
        </w:tc>
        <w:tc>
          <w:tcPr>
            <w:tcW w:w="1269" w:type="dxa"/>
            <w:gridSpan w:val="3"/>
            <w:tcBorders/>
            <w:tcMar>
              <w:top w:w="0" w:type="dxa"/>
              <w:left w:w="0" w:type="dxa"/>
              <w:bottom w:w="0" w:type="dxa"/>
              <w:right w:w="0" w:type="dxa"/>
            </w:tcMar>
            <w:vAlign w:val="center"/>
          </w:tcPr>
          <w:p>
            <w:pPr>
              <w:pStyle w:val="TableContents"/>
              <w:bidi w:val="0"/>
              <w:spacing w:lineRule="auto" w:line="288" w:before="120" w:after="283"/>
              <w:jc w:val="center"/>
              <w:rPr/>
            </w:pPr>
            <w:hyperlink w:anchor="i31315b8f3d6e4649bf517c49f88f1517_142">
              <w:r>
                <w:rPr>
                  <w:rStyle w:val="InternetLink"/>
                  <w:rFonts w:ascii="Times New Roman;sans-serif" w:hAnsi="Times New Roman;sans-serif"/>
                  <w:b w:val="false"/>
                  <w:color w:val="0000FF"/>
                  <w:sz w:val="20"/>
                  <w:u w:val="singl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par values)</w:t>
      </w:r>
    </w:p>
    <w:tbl>
      <w:tblPr>
        <w:tblW w:w="10205" w:type="dxa"/>
        <w:jc w:val="left"/>
        <w:tblInd w:w="0" w:type="dxa"/>
        <w:tblLayout w:type="fixed"/>
        <w:tblCellMar>
          <w:top w:w="28" w:type="dxa"/>
          <w:left w:w="28" w:type="dxa"/>
          <w:bottom w:w="28" w:type="dxa"/>
          <w:right w:w="28" w:type="dxa"/>
        </w:tblCellMar>
      </w:tblPr>
      <w:tblGrid>
        <w:gridCol w:w="3185"/>
        <w:gridCol w:w="2208"/>
        <w:gridCol w:w="2146"/>
        <w:gridCol w:w="211"/>
        <w:gridCol w:w="826"/>
        <w:gridCol w:w="109"/>
        <w:gridCol w:w="109"/>
        <w:gridCol w:w="109"/>
        <w:gridCol w:w="109"/>
        <w:gridCol w:w="211"/>
        <w:gridCol w:w="826"/>
        <w:gridCol w:w="156"/>
      </w:tblGrid>
      <w:tr>
        <w:trPr/>
        <w:tc>
          <w:tcPr>
            <w:tcW w:w="3185"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561,955 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392,769 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379,593 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399,044 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per share, 10,000 shares authorized as of September 30, 2024 and December 31, 2023; No shares issued and outstanding as of September 30, 2024 and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 1,000,000 Class A shares authorized as of September 30, 2024 and December 31, 2023; 47,618 shares issued and 40,006 shares outstanding as of September 30, 2024; 45,542 shares issued and 41,502 shares outstanding as of December 31, 2023; 1,000,000 Class B shares authorized as of September 30, 2024 and December 31, 2023; 11,428 shares issued and 8,287 shares outstanding as of September 30, 2024; 11,884 shares issued and 8,744 shares outstanding as of December 31,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10,753 and 7,180 shares as of September 30, 2024 and December 31, 2023,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695,243 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54685"/>
                <wp:effectExtent l="0" t="0" r="0" b="0"/>
                <wp:wrapNone/>
                <wp:docPr id="3" name="Frame3"/>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6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before="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CONDENSED CONSOLIDATED STATEMENTS OF OPERATIONS </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969"/>
        <w:gridCol w:w="1359"/>
        <w:gridCol w:w="1359"/>
        <w:gridCol w:w="221"/>
        <w:gridCol w:w="756"/>
        <w:gridCol w:w="114"/>
        <w:gridCol w:w="114"/>
        <w:gridCol w:w="114"/>
        <w:gridCol w:w="114"/>
        <w:gridCol w:w="221"/>
        <w:gridCol w:w="756"/>
        <w:gridCol w:w="114"/>
        <w:gridCol w:w="109"/>
        <w:gridCol w:w="109"/>
        <w:gridCol w:w="109"/>
        <w:gridCol w:w="211"/>
        <w:gridCol w:w="826"/>
        <w:gridCol w:w="109"/>
        <w:gridCol w:w="109"/>
        <w:gridCol w:w="109"/>
        <w:gridCol w:w="109"/>
        <w:gridCol w:w="211"/>
        <w:gridCol w:w="826"/>
        <w:gridCol w:w="157"/>
      </w:tblGrid>
      <w:tr>
        <w:trPr/>
        <w:tc>
          <w:tcPr>
            <w:tcW w:w="196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125,770 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of Class A and Class B stock</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 of Class A and Class B stock</w:t>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income (loss) per share attributable to common stockholders:</w:t>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(1)Amounts for the nine months ended September 30, 2023 include a provision for bad debt of $5.7 million relating to a Demand Side Platform (“DSP”) buyer of our platform that filed for Chapter 11 bankruptcy.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13080"/>
                <wp:effectExtent l="0" t="0" r="0" b="0"/>
                <wp:wrapNone/>
                <wp:docPr id="4" name="Frame4"/>
                <a:graphic xmlns:a="http://schemas.openxmlformats.org/drawingml/2006/main">
                  <a:graphicData uri="http://schemas.microsoft.com/office/word/2010/wordprocessingShape">
                    <wps:wsp>
                      <wps:cNvSpPr txBox="1"/>
                      <wps:spPr>
                        <a:xfrm>
                          <a:off x="0" y="0"/>
                          <a:ext cx="6480175" cy="513080"/>
                        </a:xfrm>
                        <a:prstGeom prst="rect"/>
                        <a:solidFill>
                          <a:srgbClr val="FFFFFF"/>
                        </a:solidFill>
                      </wps:spPr>
                      <wps:txbx>
                        <w:txbxContent>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 (LOSS)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672"/>
        <w:gridCol w:w="1464"/>
        <w:gridCol w:w="1469"/>
        <w:gridCol w:w="263"/>
        <w:gridCol w:w="674"/>
        <w:gridCol w:w="135"/>
        <w:gridCol w:w="135"/>
        <w:gridCol w:w="135"/>
        <w:gridCol w:w="135"/>
        <w:gridCol w:w="263"/>
        <w:gridCol w:w="770"/>
        <w:gridCol w:w="135"/>
        <w:gridCol w:w="109"/>
        <w:gridCol w:w="109"/>
        <w:gridCol w:w="109"/>
        <w:gridCol w:w="231"/>
        <w:gridCol w:w="756"/>
        <w:gridCol w:w="119"/>
        <w:gridCol w:w="119"/>
        <w:gridCol w:w="119"/>
        <w:gridCol w:w="119"/>
        <w:gridCol w:w="231"/>
        <w:gridCol w:w="756"/>
        <w:gridCol w:w="178"/>
      </w:tblGrid>
      <w:tr>
        <w:trPr/>
        <w:tc>
          <w:tcPr>
            <w:tcW w:w="167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 net of tax</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foreign currency translation adjustment</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(9,824)</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13080"/>
                <wp:effectExtent l="0" t="0" r="0" b="0"/>
                <wp:wrapNone/>
                <wp:docPr id="5" name="Frame5"/>
                <a:graphic xmlns:a="http://schemas.openxmlformats.org/drawingml/2006/main">
                  <a:graphicData uri="http://schemas.microsoft.com/office/word/2010/wordprocessingShape">
                    <wps:wsp>
                      <wps:cNvSpPr txBox="1"/>
                      <wps:spPr>
                        <a:xfrm>
                          <a:off x="0" y="0"/>
                          <a:ext cx="6480175" cy="513080"/>
                        </a:xfrm>
                        <a:prstGeom prst="rect"/>
                        <a:solidFill>
                          <a:srgbClr val="FFFFFF"/>
                        </a:solidFill>
                      </wps:spPr>
                      <wps:txbx>
                        <w:txbxContent>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781" w:type="dxa"/>
        <w:jc w:val="left"/>
        <w:tblInd w:w="0" w:type="dxa"/>
        <w:tblLayout w:type="fixed"/>
        <w:tblCellMar>
          <w:top w:w="28" w:type="dxa"/>
          <w:left w:w="28" w:type="dxa"/>
          <w:bottom w:w="28" w:type="dxa"/>
          <w:right w:w="28" w:type="dxa"/>
        </w:tblCellMar>
      </w:tblPr>
      <w:tblGrid>
        <w:gridCol w:w="757"/>
        <w:gridCol w:w="296"/>
        <w:gridCol w:w="298"/>
        <w:gridCol w:w="360"/>
        <w:gridCol w:w="361"/>
        <w:gridCol w:w="196"/>
        <w:gridCol w:w="109"/>
        <w:gridCol w:w="109"/>
        <w:gridCol w:w="109"/>
        <w:gridCol w:w="253"/>
        <w:gridCol w:w="307"/>
        <w:gridCol w:w="131"/>
        <w:gridCol w:w="109"/>
        <w:gridCol w:w="109"/>
        <w:gridCol w:w="109"/>
        <w:gridCol w:w="211"/>
        <w:gridCol w:w="841"/>
        <w:gridCol w:w="109"/>
        <w:gridCol w:w="109"/>
        <w:gridCol w:w="109"/>
        <w:gridCol w:w="109"/>
        <w:gridCol w:w="211"/>
        <w:gridCol w:w="826"/>
        <w:gridCol w:w="109"/>
        <w:gridCol w:w="109"/>
        <w:gridCol w:w="109"/>
        <w:gridCol w:w="109"/>
        <w:gridCol w:w="368"/>
        <w:gridCol w:w="656"/>
        <w:gridCol w:w="192"/>
        <w:gridCol w:w="109"/>
        <w:gridCol w:w="109"/>
        <w:gridCol w:w="109"/>
        <w:gridCol w:w="211"/>
        <w:gridCol w:w="826"/>
        <w:gridCol w:w="109"/>
        <w:gridCol w:w="109"/>
        <w:gridCol w:w="109"/>
        <w:gridCol w:w="109"/>
        <w:gridCol w:w="211"/>
        <w:gridCol w:w="82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Stockholders’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2024</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10676" w:type="dxa"/>
        <w:jc w:val="left"/>
        <w:tblInd w:w="0" w:type="dxa"/>
        <w:tblLayout w:type="fixed"/>
        <w:tblCellMar>
          <w:top w:w="28" w:type="dxa"/>
          <w:left w:w="28" w:type="dxa"/>
          <w:bottom w:w="28" w:type="dxa"/>
          <w:right w:w="28" w:type="dxa"/>
        </w:tblCellMar>
      </w:tblPr>
      <w:tblGrid>
        <w:gridCol w:w="757"/>
        <w:gridCol w:w="296"/>
        <w:gridCol w:w="298"/>
        <w:gridCol w:w="360"/>
        <w:gridCol w:w="361"/>
        <w:gridCol w:w="196"/>
        <w:gridCol w:w="109"/>
        <w:gridCol w:w="109"/>
        <w:gridCol w:w="109"/>
        <w:gridCol w:w="253"/>
        <w:gridCol w:w="307"/>
        <w:gridCol w:w="131"/>
        <w:gridCol w:w="109"/>
        <w:gridCol w:w="109"/>
        <w:gridCol w:w="109"/>
        <w:gridCol w:w="211"/>
        <w:gridCol w:w="736"/>
        <w:gridCol w:w="109"/>
        <w:gridCol w:w="109"/>
        <w:gridCol w:w="109"/>
        <w:gridCol w:w="109"/>
        <w:gridCol w:w="211"/>
        <w:gridCol w:w="826"/>
        <w:gridCol w:w="109"/>
        <w:gridCol w:w="109"/>
        <w:gridCol w:w="109"/>
        <w:gridCol w:w="109"/>
        <w:gridCol w:w="368"/>
        <w:gridCol w:w="656"/>
        <w:gridCol w:w="192"/>
        <w:gridCol w:w="109"/>
        <w:gridCol w:w="109"/>
        <w:gridCol w:w="109"/>
        <w:gridCol w:w="211"/>
        <w:gridCol w:w="826"/>
        <w:gridCol w:w="109"/>
        <w:gridCol w:w="109"/>
        <w:gridCol w:w="109"/>
        <w:gridCol w:w="109"/>
        <w:gridCol w:w="211"/>
        <w:gridCol w:w="82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Stockholders’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RSU vesting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pStyle w:val="TextBody"/>
        <w:bidi w:val="0"/>
        <w:spacing w:before="0" w:after="0"/>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PUBMATIC, INC. AND SUBSIDIARIES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72"/>
        <w:gridCol w:w="2403"/>
        <w:gridCol w:w="2410"/>
        <w:gridCol w:w="225"/>
        <w:gridCol w:w="769"/>
        <w:gridCol w:w="116"/>
        <w:gridCol w:w="116"/>
        <w:gridCol w:w="116"/>
        <w:gridCol w:w="116"/>
        <w:gridCol w:w="225"/>
        <w:gridCol w:w="769"/>
        <w:gridCol w:w="168"/>
      </w:tblGrid>
      <w:tr>
        <w:trPr/>
        <w:tc>
          <w:tcPr>
            <w:tcW w:w="2772"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 on marketable securities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expense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non-current </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(76,932)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marketable securities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business combination indemnification claims holdback</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for employee stock purchase plan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obligations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to acquire treasury stock</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(39,391)</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Beginning of period</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End of period</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97,730 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NON-CASH INVESTING AND FINANCING INFORMATION:</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capitalized as internal-use software costs</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included in accounts payable and accrued liabilities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costs included in accounts payable and accrued liabilities</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purchase consideration - indemnification claims holdback</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685"/>
                <wp:effectExtent l="0" t="0" r="0" b="0"/>
                <wp:wrapNone/>
                <wp:docPr id="8" name="Frame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PUBMATIC, INC. AND SUBSIDIARIES</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PubMatic, Inc. (together with its subsidiaries, the “Company” or “PubMatic”) was founded in 2006. The Company has offices worldwide.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ends on December 31, and its fiscal quarters end on March 31, June 30, September 30, and December 31. References to fiscal year 2024, for example, refer to the fiscal year ending December 31, 2024.</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Unaudited Interim Condensed Consolidated Financial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include the accounts of PubMatic,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2024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2023, as filed with the SEC on February 28, 2024 (the “Annual Report”).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accordance with GAAP. The accompanying condensed consolidated financial statements include the accounts of PubMatic, Inc. and its wholly-owned subsidiaries. All intercompany accounts and transactions have been eliminated in consolidation.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estimates and assumptions on an ongoing basis using historical experience and other factors, and adjusts those estimates and assumptions when facts and circumstances dictate. Actual results could materially differ from those estimates and assumptions. Due to the inherent uncertainty involved in making assumptions and estimates, events and changes in circumstances arising after September 30, 2024 may result in actual outcomes that differ from those contemplated by the Company’s assumptions and estimates.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Revenue and Accounts Receivable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defines its revenue concentration based on revenue recognized from individual publishers. For the three months ended September 30, 2024 and 2023, no publisher represented more than 10% of the Company’s revenue. For the nine months ended September 30, 2024 and 2023, no publisher represented more than 10% of the Company’s revenue. As of September 30, 2024, two buyers accounted for 41% and 12%, respectively, of accounts receivable. As of December 31, 2023, three buyers accounted for 30%, 21%, and 14%, respectively, of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and Allowance for Credit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recorded at the invoiced amount, are unsecured, and do not bear interest. The allowance for credit losses is based on the best estimate of the amount of probable credit losses in existing accounts receivable. The allowance for credit losses is determined based on historical collection experience and the review in each period of the status of the then outstanding accounts receivable, while taking into consideration current customer information, collection history, and other relevant data. Account balances are written off against the allowance when the Company believes it is probable the receivable will not be recovered.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allowance for credit losses (in thousands):</w:t>
      </w:r>
    </w:p>
    <w:tbl>
      <w:tblPr>
        <w:tblW w:w="9541" w:type="dxa"/>
        <w:jc w:val="left"/>
        <w:tblInd w:w="0" w:type="dxa"/>
        <w:tblLayout w:type="fixed"/>
        <w:tblCellMar>
          <w:top w:w="28" w:type="dxa"/>
          <w:left w:w="28" w:type="dxa"/>
          <w:bottom w:w="28" w:type="dxa"/>
          <w:right w:w="28" w:type="dxa"/>
        </w:tblCellMar>
      </w:tblPr>
      <w:tblGrid>
        <w:gridCol w:w="1413"/>
        <w:gridCol w:w="1239"/>
        <w:gridCol w:w="1247"/>
        <w:gridCol w:w="263"/>
        <w:gridCol w:w="581"/>
        <w:gridCol w:w="135"/>
        <w:gridCol w:w="135"/>
        <w:gridCol w:w="135"/>
        <w:gridCol w:w="135"/>
        <w:gridCol w:w="263"/>
        <w:gridCol w:w="899"/>
        <w:gridCol w:w="135"/>
        <w:gridCol w:w="109"/>
        <w:gridCol w:w="109"/>
        <w:gridCol w:w="109"/>
        <w:gridCol w:w="253"/>
        <w:gridCol w:w="559"/>
        <w:gridCol w:w="130"/>
        <w:gridCol w:w="130"/>
        <w:gridCol w:w="130"/>
        <w:gridCol w:w="130"/>
        <w:gridCol w:w="253"/>
        <w:gridCol w:w="865"/>
        <w:gridCol w:w="18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beginning balance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provision for expected credit losses</w:t>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14,547</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ending balance</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14,845 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provision for expected credit losses associated with accounts receivable increased by $14.5 million relating to uncollectible receivables for a DSP buyer of the Company’s platform that filed for Chapter 11 bankruptcy on June 30, 2023. Of the total uncollectible receivables from the DSP buyer of $14.5 million, $8.8 million was subject to chargeback to publishers of the Company and recorded as contra payable to publishers related to expected recoveries. The result was $5.7 million of bad debt expense for the nine months ended September 30, 2023.</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Standards Update (ASU) 2023-07 “Segment Reporting (Topic 280): Improvements to Reportable Segment Disclosures” which expands annual and interim disclosure requirements for reportable segments, primarily through enhanced disclosures about significant segment expenses. ASU 2023-07 requires additional disclosures for segment reporting, including disclosure of the title and position of the Chief Operating Decision Maker and requires a public entity that has a single reportable segment to provide all the disclosures required by the amendments in ASU 2023-07, and all existing segment disclosures in Topic 280. ASU 2023-07 is effective for fiscal periods beginning after December 15, 2023, and interim periods within fiscal years beginning after December 15, 2024. The Company plans to adopt ASU 2023-07 effective for the annual report on Form 10-K for the year ended December 31, 2024 and subsequent interim periods. Since ASU 2023-07 addresses only disclosures, the adoption of ASU 2023-07 is not expected to have a significant impact on the Company’s consolidated financial statements.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FASB issued ASU 2023-09 “Income Taxes (Topic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 Fair Value Measurements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fair value of the Company’s financial assets and liabilities measured on a recurring basis by level within the fair value hierarchy (in thousands): </w:t>
      </w:r>
    </w:p>
    <w:tbl>
      <w:tblPr>
        <w:tblW w:w="8864" w:type="dxa"/>
        <w:jc w:val="left"/>
        <w:tblInd w:w="0" w:type="dxa"/>
        <w:tblLayout w:type="fixed"/>
        <w:tblCellMar>
          <w:top w:w="28" w:type="dxa"/>
          <w:left w:w="28" w:type="dxa"/>
          <w:bottom w:w="28" w:type="dxa"/>
          <w:right w:w="28" w:type="dxa"/>
        </w:tblCellMar>
      </w:tblPr>
      <w:tblGrid>
        <w:gridCol w:w="1367"/>
        <w:gridCol w:w="1202"/>
        <w:gridCol w:w="1210"/>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36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consist of Level 1 and 2 assets. The Company had no Level 3 assets or liabilities for the periods presented. The Company classifies its cash equivalents and marketable securities within Level 1 or Level 2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 Balance Sheet Components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marketable securities by significant investment categories (in thousands):</w:t>
      </w:r>
    </w:p>
    <w:tbl>
      <w:tblPr>
        <w:tblW w:w="9626" w:type="dxa"/>
        <w:jc w:val="left"/>
        <w:tblInd w:w="0" w:type="dxa"/>
        <w:tblLayout w:type="fixed"/>
        <w:tblCellMar>
          <w:top w:w="28" w:type="dxa"/>
          <w:left w:w="28" w:type="dxa"/>
          <w:bottom w:w="28" w:type="dxa"/>
          <w:right w:w="28" w:type="dxa"/>
        </w:tblCellMar>
      </w:tblPr>
      <w:tblGrid>
        <w:gridCol w:w="1368"/>
        <w:gridCol w:w="1203"/>
        <w:gridCol w:w="1208"/>
        <w:gridCol w:w="252"/>
        <w:gridCol w:w="863"/>
        <w:gridCol w:w="130"/>
        <w:gridCol w:w="109"/>
        <w:gridCol w:w="109"/>
        <w:gridCol w:w="109"/>
        <w:gridCol w:w="399"/>
        <w:gridCol w:w="683"/>
        <w:gridCol w:w="208"/>
        <w:gridCol w:w="109"/>
        <w:gridCol w:w="109"/>
        <w:gridCol w:w="109"/>
        <w:gridCol w:w="361"/>
        <w:gridCol w:w="696"/>
        <w:gridCol w:w="188"/>
        <w:gridCol w:w="109"/>
        <w:gridCol w:w="109"/>
        <w:gridCol w:w="109"/>
        <w:gridCol w:w="211"/>
        <w:gridCol w:w="721"/>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debt securities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government debt securities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contractual maturity of all marketable securities was within one year as of September 30, 2024 and December 31, 2023. Realized gains and losses were not material for the nine months ended September 30, 2024 and 2023. As of September 30, 2024 and 2023, there were no securities that were in an unrealized loss position for more than twelve months.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Property, Equipment and Software, Net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consisted of the following (in thousands):</w:t>
      </w:r>
    </w:p>
    <w:tbl>
      <w:tblPr>
        <w:tblW w:w="7030" w:type="dxa"/>
        <w:jc w:val="left"/>
        <w:tblInd w:w="0" w:type="dxa"/>
        <w:tblLayout w:type="fixed"/>
        <w:tblCellMar>
          <w:top w:w="28" w:type="dxa"/>
          <w:left w:w="28" w:type="dxa"/>
          <w:bottom w:w="28" w:type="dxa"/>
          <w:right w:w="28" w:type="dxa"/>
        </w:tblCellMar>
      </w:tblPr>
      <w:tblGrid>
        <w:gridCol w:w="1600"/>
        <w:gridCol w:w="1408"/>
        <w:gridCol w:w="1416"/>
        <w:gridCol w:w="231"/>
        <w:gridCol w:w="790"/>
        <w:gridCol w:w="119"/>
        <w:gridCol w:w="109"/>
        <w:gridCol w:w="109"/>
        <w:gridCol w:w="109"/>
        <w:gridCol w:w="221"/>
        <w:gridCol w:w="757"/>
        <w:gridCol w:w="161"/>
      </w:tblGrid>
      <w:tr>
        <w:trPr/>
        <w:tc>
          <w:tcPr>
            <w:tcW w:w="16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74,186 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hardware, computer equipment and software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gross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201,443 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(172,193)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63,247 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60,729 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related to property, equipment, and software (excluding amortization of internal-use software) was $6.1 million and $7.2 million for the three months ended September 30, 2024 and 2023, respectively, and $19.1 million and $21.8 million for the nine months ended September 30, 2024 and 2023,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capitalized $6.1 million and $5.0 million in software development costs during the three months ended September 30, 2024 and 2023, respectively, and $17.9 million and $15.9 million for the nine months ended September 30, 2024 and 2023, respectively. Amortization expense of internal-use software was $4.9 million and $3.8 million during the three months ended September 30, 2024 and 2023, respectively, and $13.7 million and $9.9 million for the nine months ended September 30, 2024 and 2023, respectively. These costs are included within cost of revenue in the condensed consolidated statements of operations.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recognize any impairment charges on its long-lived assets during the nine months ended September 30, 2024 and 2023, respectively.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Accounts Payable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 consisted of the following (in thousands):</w:t>
      </w:r>
    </w:p>
    <w:tbl>
      <w:tblPr>
        <w:tblW w:w="4824" w:type="dxa"/>
        <w:jc w:val="left"/>
        <w:tblInd w:w="0" w:type="dxa"/>
        <w:tblLayout w:type="fixed"/>
        <w:tblCellMar>
          <w:top w:w="28" w:type="dxa"/>
          <w:left w:w="28" w:type="dxa"/>
          <w:bottom w:w="28" w:type="dxa"/>
          <w:right w:w="28" w:type="dxa"/>
        </w:tblCellMar>
      </w:tblPr>
      <w:tblGrid>
        <w:gridCol w:w="782"/>
        <w:gridCol w:w="688"/>
        <w:gridCol w:w="690"/>
        <w:gridCol w:w="211"/>
        <w:gridCol w:w="826"/>
        <w:gridCol w:w="109"/>
        <w:gridCol w:w="109"/>
        <w:gridCol w:w="109"/>
        <w:gridCol w:w="109"/>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publishers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payables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payable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Accrued Liabilities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5651" w:type="dxa"/>
        <w:jc w:val="left"/>
        <w:tblInd w:w="0" w:type="dxa"/>
        <w:tblLayout w:type="fixed"/>
        <w:tblCellMar>
          <w:top w:w="28" w:type="dxa"/>
          <w:left w:w="28" w:type="dxa"/>
          <w:bottom w:w="28" w:type="dxa"/>
          <w:right w:w="28" w:type="dxa"/>
        </w:tblCellMar>
      </w:tblPr>
      <w:tblGrid>
        <w:gridCol w:w="1103"/>
        <w:gridCol w:w="968"/>
        <w:gridCol w:w="974"/>
        <w:gridCol w:w="231"/>
        <w:gridCol w:w="790"/>
        <w:gridCol w:w="119"/>
        <w:gridCol w:w="109"/>
        <w:gridCol w:w="109"/>
        <w:gridCol w:w="109"/>
        <w:gridCol w:w="221"/>
        <w:gridCol w:w="757"/>
        <w:gridCol w:w="161"/>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 Senior Secured Credit Facilities Agreement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2022, the Company entered into a Senior Secured Credit Facilities Credit Agreement (the “Credit Agreement”) with the several lenders parties thereto (the “Lenders”), and Silicon Valley Bank (“SVB”), as administrative agent, lead arranger, issuing lender, and swingline lender. The Credit Agreement matures on October 17, 2027.</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a revolving credit facility in an aggregate principal amount of $110.0 million (“the Revolving Credit Facility”), including a $25.0 million letter of credit sub-facility and a $25.0 million swingline sub-facility. The Company’s obligations under the Revolving Credit Facility and the letter of credit sub-facility (described in Note 8) with SVB are secured by substantially all of its assets excluding its intellectual property. The Company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will accrue interest at rates equal, at the Company’s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1.00%, plus the applicable margin for such loans. The applicable margin for borrowings bearing interest on the SOFR ranges from 2.00% to 2.75%, and the applicable margin for borrowings bearing interest based on the ABR ranges from 1.00% to 1.75%. As of September 30, 2024, the applicable interest rate under the revolving credit facility was 9.00%. The Company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representations and warranties as well as customary affirmative and negative covenants. Negative covenants include, among others, limitations on incurrence of indebtedness, liens, disposition of property and investments by the Company and its subsidiaries. In addition, the Credit Agreement requires the Company to maintain certain interest coverage, leverage and senior leverage ratios. To date, the Company is in compliance with the affirmative and negative covenants.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events of default. Upon the occurrence and during the continuance of an event of default, the Lenders may declare the outstanding advances and all other obligations under the Credit Agreement immediately due and payable.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use amounts borrowed under the Credit Agreement for general corporate purposes or working capital financing. The Company may borrow additional amounts under the Credit Agreement from time to time as opportunities and needs arise. As of September 30, 2024, the Company has not drawn down on the credit facility.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SVB closure by the California Department of Financial Protection and Innovation on March 10, 2023, and its subsequent receivership by the Federal Deposit Insurance Corporation (“FDIC”), the FDIC announced that all of SVB’s deposits and substantially all of its assets had been transferred to a newly created, full-service FDIC-operated bridge bank, Silicon Valley Bridge Bank, N.A. (“SVBB”). On March 27, 2023, First Citizens Bank &amp; Trust Company (“First Citizens”) acquired substantially all of the loans and certain other assets of the former SVB, and assumed all customer deposits and certain other liabilities of the former SVB. As such, First Citizen assumed SVB’s obligations under the Credit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 Leases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is recognized on a straight-line basis over the lease term. Finance lease cost is recognized as a combination of the amortization expense for the right-of-use assets and interest expense for the outstanding lease liabilities, and results in a front-loaded expense pattern over the lease term. Short-term and variable lease costs are not material to the Company’s condensed consolidated financial statements.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2024, the Company entered into an agreement to continue to lease approximately 30,000 square feet of office space located in New York City, New York (“July 2024 Lease”), which was previously subleased. The original sublease agreement for the space was set to expire in January 2025. The July 2024 Lease extends the lease term through January 2036 and grants the Company the right to use an additional floor in the building, also comprised of approximately 30,000 square feet, which has yet to commence. The Company will use the aggregate space to support its general and administrative functions, sales and marketing, technology and development, engineering and customer support. The Company has the option to exercise an early termination at either of two different points during the lease term, neither of which has been reflected in the lease term. The Company has provided an irrevocable letter of credit in the amount of approximately $1.5 million, pursuant to the terms of the July 2024 Lease.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operating right-of-use assets obtained in exchange for new lease obligations was $18.3 million.</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were as follows (in thousands):</w:t>
      </w:r>
    </w:p>
    <w:tbl>
      <w:tblPr>
        <w:tblW w:w="7402" w:type="dxa"/>
        <w:jc w:val="left"/>
        <w:tblInd w:w="0" w:type="dxa"/>
        <w:tblLayout w:type="fixed"/>
        <w:tblCellMar>
          <w:top w:w="28" w:type="dxa"/>
          <w:left w:w="28" w:type="dxa"/>
          <w:bottom w:w="28" w:type="dxa"/>
          <w:right w:w="28" w:type="dxa"/>
        </w:tblCellMar>
      </w:tblPr>
      <w:tblGrid>
        <w:gridCol w:w="635"/>
        <w:gridCol w:w="558"/>
        <w:gridCol w:w="562"/>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 weighted average discount rate of 4.38% and 2.24% has been applied to the remaining operating and finance lease payments, respectively, to calculate the lease liabilities included within the condensed consolidated balance sheets. The weighted average remaining lease term of operating and finance leases is 6.7 and 3.5 years, respectively, as of September 30,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maturities of lease liabilities under operating and finance leases were as follows (in thousands):</w:t>
      </w:r>
    </w:p>
    <w:tbl>
      <w:tblPr>
        <w:tblW w:w="7454" w:type="dxa"/>
        <w:jc w:val="left"/>
        <w:tblInd w:w="0" w:type="dxa"/>
        <w:tblLayout w:type="fixed"/>
        <w:tblCellMar>
          <w:top w:w="28" w:type="dxa"/>
          <w:left w:w="28" w:type="dxa"/>
          <w:bottom w:w="28" w:type="dxa"/>
          <w:right w:w="28" w:type="dxa"/>
        </w:tblCellMar>
      </w:tblPr>
      <w:tblGrid>
        <w:gridCol w:w="1145"/>
        <w:gridCol w:w="1006"/>
        <w:gridCol w:w="1013"/>
        <w:gridCol w:w="276"/>
        <w:gridCol w:w="946"/>
        <w:gridCol w:w="143"/>
        <w:gridCol w:w="109"/>
        <w:gridCol w:w="109"/>
        <w:gridCol w:w="109"/>
        <w:gridCol w:w="318"/>
        <w:gridCol w:w="703"/>
        <w:gridCol w:w="164"/>
        <w:gridCol w:w="109"/>
        <w:gridCol w:w="109"/>
        <w:gridCol w:w="109"/>
        <w:gridCol w:w="211"/>
        <w:gridCol w:w="72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present value of lease liabilities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pStyle w:val="TextBody"/>
        <w:bidi w:val="0"/>
        <w:spacing w:lineRule="auto" w:line="288" w:before="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has additional operating lease liabilities of $17.2 million from the July 2024 Lease that have not yet commenced, which are not reflected in the condensed consolidated balance sheets or the tables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 Acquisition-related Intangible Assets, Net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Acquisition-related Intangible Assets, Net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intangible assets, net consisted of the following (in thousands):</w:t>
      </w:r>
    </w:p>
    <w:tbl>
      <w:tblPr>
        <w:tblW w:w="9879" w:type="dxa"/>
        <w:jc w:val="left"/>
        <w:tblInd w:w="0" w:type="dxa"/>
        <w:tblLayout w:type="fixed"/>
        <w:tblCellMar>
          <w:top w:w="28" w:type="dxa"/>
          <w:left w:w="28" w:type="dxa"/>
          <w:bottom w:w="28" w:type="dxa"/>
          <w:right w:w="28" w:type="dxa"/>
        </w:tblCellMar>
      </w:tblPr>
      <w:tblGrid>
        <w:gridCol w:w="1278"/>
        <w:gridCol w:w="1120"/>
        <w:gridCol w:w="1127"/>
        <w:gridCol w:w="422"/>
        <w:gridCol w:w="1235"/>
        <w:gridCol w:w="218"/>
        <w:gridCol w:w="109"/>
        <w:gridCol w:w="109"/>
        <w:gridCol w:w="109"/>
        <w:gridCol w:w="465"/>
        <w:gridCol w:w="1362"/>
        <w:gridCol w:w="243"/>
        <w:gridCol w:w="109"/>
        <w:gridCol w:w="109"/>
        <w:gridCol w:w="109"/>
        <w:gridCol w:w="377"/>
        <w:gridCol w:w="1103"/>
        <w:gridCol w:w="275"/>
      </w:tblGrid>
      <w:tr>
        <w:trPr/>
        <w:tc>
          <w:tcPr>
            <w:tcW w:w="127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acquisition-related intangible assets</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acquisition-related intangible assets</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useful life of developed technology was 3 years as of September 30, 2024. Amortization expense related to acquisition-related intangibles was $0.4 million for the three months ended September 30, 2024 and 2023, and $1.2 million and $2.0 million for the nine months ended September 30, 2024 and 2023,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estimated future amortization expense for acquisition-related intangible assets was as follows (in thousands):</w:t>
      </w:r>
    </w:p>
    <w:tbl>
      <w:tblPr>
        <w:tblW w:w="8319" w:type="dxa"/>
        <w:jc w:val="left"/>
        <w:tblInd w:w="0" w:type="dxa"/>
        <w:tblLayout w:type="fixed"/>
        <w:tblCellMar>
          <w:top w:w="28" w:type="dxa"/>
          <w:left w:w="28" w:type="dxa"/>
          <w:bottom w:w="28" w:type="dxa"/>
          <w:right w:w="28" w:type="dxa"/>
        </w:tblCellMar>
      </w:tblPr>
      <w:tblGrid>
        <w:gridCol w:w="2616"/>
        <w:gridCol w:w="2298"/>
        <w:gridCol w:w="2315"/>
        <w:gridCol w:w="109"/>
        <w:gridCol w:w="211"/>
        <w:gridCol w:w="616"/>
        <w:gridCol w:w="154"/>
      </w:tblGrid>
      <w:tr>
        <w:trPr/>
        <w:tc>
          <w:tcPr>
            <w:tcW w:w="2616"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estimated future amortization expense for acquisition-related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8 – Commitments and Contingencies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purchase obligations primarily relate to minimum contractual payments due to data center providers. During the nine months ended September 30, 2024, there were no material changes to the Company’s non-cancelable purchase obligations disclosed in the Company’s Annual Report on Form 10-K for the fiscal year ended December 31, 2023.</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July 2024 Lease, the Company has provided an irrevocable letter of credit in the amount of approximately $1.5 million, and concurrently terminated the previous irrevocable line of credit related to the sublease of the premises of $0.5 million. Therefore, as of September 30, 2024, the Company had two irrevocable letters of credit outstanding related to non-cancelable facilities leases in the amounts of $3.5 million and $1.5 million, with annual automatic renewal and final expiration dates in July 2028 and April 2036, respectively. The letter of credit of $3.5 million was also outstanding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or may be involved in various claims and other legal matters arising in the normal course of business. The Company records an accrual for a liability relating to claims and other legal matters when it is both probable that a liability has been incurred and the amount of the loss can be reasonably estimated. Any such accruals are reviewed at least quarterly and adjusted for the impacts of negotiations, rulings, settlements, and other information or events pertaining to a particular matter, or on the advice of legal counsel. To date, the Company has not incurred a material loss, or a material loss in excess of a recorded accrual, with respect to any claims and other legal matters arising in the normal course of business. However, the outcomes of claims and other legal matters are inherently unpredictable and subject to significant uncertainties. If the Company subsequently concludes that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9 – Stockholders’ Equity and Equity Incentive Plans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the Company’s board of directors authorized the Company to repurchase up to $75 million of its Class A common stock (“2023 Repurchase Program”). In February 2024, the Company’s board of directors authorized the Company to repurchase up to an additional $100 million of its Class A common stock (“2024 Repurchase Program”) in addition to the $75 million previously authorized under the 2023 Repurchase Program. As of September 30, 2024, $50.9 million remains available for repurchases. Shares are repurchased in a manner deemed in the best interest of the Company and its stockholders, dependent upon business, economic and market conditions, corporate and regulatory requirements, prevailing stock prices and other considerations.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the Company repurchased 1,794,717 and 3,572,563 aggregate shares of Class A common stock for $29.0 million and $64.8 million,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Repurchases are executed from time to time, subject to general business and market conditions and other investment opportunities, through open market purchases or privately negotiated transactions, in accordance with Rule 10b-18 and/or Rule 10b5-1 of the Exchange Act. The 2023 Repurchase Program is scheduled to terminate on December 31, 2024, while the 2024 Repurchase Program is scheduled to terminate on December 31, 2025.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the 2020 Equity Incentive Plan (“2020 Plan”), pursuant to which the Company may grant stock options, restricted stock awards, stock appreciation rights, restricted stock units (“RSUs”), deferred stock units (“DSUs”), performance awards, and stock bonus awards. As of September 30, 2024, the Company has reserved 5,529,727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No new awards were issued under the Company’s prior 2006 Plan or 2017 Plan (“Prior Plans”) after the effective date of the 2020 Plan. To the extent outstanding awards under the 2006 Plan and the 2017 Plan are forfeited, expire unexercised, or would otherwise have been returned to the share reserve under the Prior Plans, the shares of Class B common stock subject to such awards instead will be available for future issuance as Class A common stock under the 2020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and related information under the Company’s equity incentive plans:</w:t>
      </w:r>
    </w:p>
    <w:tbl>
      <w:tblPr>
        <w:tblW w:w="10205" w:type="dxa"/>
        <w:jc w:val="left"/>
        <w:tblInd w:w="0" w:type="dxa"/>
        <w:tblLayout w:type="fixed"/>
        <w:tblCellMar>
          <w:top w:w="28" w:type="dxa"/>
          <w:left w:w="28" w:type="dxa"/>
          <w:bottom w:w="28" w:type="dxa"/>
          <w:right w:w="28" w:type="dxa"/>
        </w:tblCellMar>
      </w:tblPr>
      <w:tblGrid>
        <w:gridCol w:w="720"/>
        <w:gridCol w:w="632"/>
        <w:gridCol w:w="636"/>
        <w:gridCol w:w="610"/>
        <w:gridCol w:w="610"/>
        <w:gridCol w:w="612"/>
        <w:gridCol w:w="109"/>
        <w:gridCol w:w="109"/>
        <w:gridCol w:w="109"/>
        <w:gridCol w:w="401"/>
        <w:gridCol w:w="1173"/>
        <w:gridCol w:w="208"/>
        <w:gridCol w:w="109"/>
        <w:gridCol w:w="109"/>
        <w:gridCol w:w="109"/>
        <w:gridCol w:w="646"/>
        <w:gridCol w:w="646"/>
        <w:gridCol w:w="648"/>
        <w:gridCol w:w="109"/>
        <w:gridCol w:w="109"/>
        <w:gridCol w:w="109"/>
        <w:gridCol w:w="325"/>
        <w:gridCol w:w="1112"/>
        <w:gridCol w:w="245"/>
      </w:tblGrid>
      <w:tr>
        <w:trPr/>
        <w:tc>
          <w:tcPr>
            <w:tcW w:w="72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Underlying Outstanding Options</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7,079 </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expired</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September 30, 2024</w:t>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8,003 </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52,151 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as of September 30, 2024</w:t>
            </w:r>
          </w:p>
        </w:tc>
        <w:tc>
          <w:tcPr>
            <w:tcW w:w="12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5,774 </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2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52,003 </w:t>
            </w:r>
          </w:p>
        </w:tc>
        <w:tc>
          <w:tcPr>
            <w:tcW w:w="2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unrecognized stock-based compensation of $19.8 million related to unvested stock options will be recognized on a straight-line basis over a weighted average period of 2.64 years.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 and related information under the Company’s 2020 Plan:</w:t>
      </w:r>
    </w:p>
    <w:tbl>
      <w:tblPr>
        <w:tblW w:w="8679" w:type="dxa"/>
        <w:jc w:val="left"/>
        <w:tblInd w:w="0" w:type="dxa"/>
        <w:tblLayout w:type="fixed"/>
        <w:tblCellMar>
          <w:top w:w="28" w:type="dxa"/>
          <w:left w:w="28" w:type="dxa"/>
          <w:bottom w:w="28" w:type="dxa"/>
          <w:right w:w="28" w:type="dxa"/>
        </w:tblCellMar>
      </w:tblPr>
      <w:tblGrid>
        <w:gridCol w:w="1075"/>
        <w:gridCol w:w="944"/>
        <w:gridCol w:w="950"/>
        <w:gridCol w:w="469"/>
        <w:gridCol w:w="469"/>
        <w:gridCol w:w="471"/>
        <w:gridCol w:w="109"/>
        <w:gridCol w:w="109"/>
        <w:gridCol w:w="109"/>
        <w:gridCol w:w="854"/>
        <w:gridCol w:w="2494"/>
        <w:gridCol w:w="626"/>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 per Share</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2023</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or 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September 30, 2024</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unrecognized stock-based compensation of $63.4 million related to unvested RSUs will be recognized on a straight-line basis over a weighted average period of 2.63 years.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Company’s board of directors adopted, and its stockholders approved, the 2020 Employee Stock Purchase Plan (“ESPP”).</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number of shares reserved for issuance under the ESPP increases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September 30, 2024, the Company had reserved 1,847,439 shares of its Class A common stock for issuance under the ESPP.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ESPP, Class A common stock will be purchased for the accounts of employees participating in the ESPP on each purchase date at a price per share equal to 85% of the lesser of: (a) the fair market value on the offering date or (b) the fair market value on the purchase date. The ESPP provides for, at maximum, 27 month offering periods and each offering period may consist of one or more six-month purchase periods, whereby the latest offering period commenced on June 1, 2024, and the offering periods thereafter consist of two six-month purchase periods ending May 31, 2025. In August 2024, the compensation committee of the Company’s board of directors approved an overlapping twelve-month offering period consisting of two six-month purchase periods to commence on December 1, 2024. As of September 30, 2024, $0.7 million has been withheld on behalf of employees for a future purchase under the ESPP due to the timing of payroll deductions and is included in accrued liabilities. For the nine months ended September 30, 2024 and 2023, 102,145 and 65,092 shares of our Class A common stock were purchased under the ESPP,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unrecognized stock-based compensation expense related to the ESPP was $0.8 million, which is expected to be recognized over a weighted-average period of 0.67 years.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recognized in the condensed consolidated statements of operations was as follows (in thousands):</w:t>
      </w:r>
    </w:p>
    <w:tbl>
      <w:tblPr>
        <w:tblW w:w="10205" w:type="dxa"/>
        <w:jc w:val="left"/>
        <w:tblInd w:w="0" w:type="dxa"/>
        <w:tblLayout w:type="fixed"/>
        <w:tblCellMar>
          <w:top w:w="28" w:type="dxa"/>
          <w:left w:w="28" w:type="dxa"/>
          <w:bottom w:w="28" w:type="dxa"/>
          <w:right w:w="28" w:type="dxa"/>
        </w:tblCellMar>
      </w:tblPr>
      <w:tblGrid>
        <w:gridCol w:w="1670"/>
        <w:gridCol w:w="1465"/>
        <w:gridCol w:w="1460"/>
        <w:gridCol w:w="254"/>
        <w:gridCol w:w="744"/>
        <w:gridCol w:w="131"/>
        <w:gridCol w:w="131"/>
        <w:gridCol w:w="131"/>
        <w:gridCol w:w="131"/>
        <w:gridCol w:w="254"/>
        <w:gridCol w:w="744"/>
        <w:gridCol w:w="131"/>
        <w:gridCol w:w="109"/>
        <w:gridCol w:w="109"/>
        <w:gridCol w:w="109"/>
        <w:gridCol w:w="226"/>
        <w:gridCol w:w="771"/>
        <w:gridCol w:w="116"/>
        <w:gridCol w:w="116"/>
        <w:gridCol w:w="116"/>
        <w:gridCol w:w="116"/>
        <w:gridCol w:w="226"/>
        <w:gridCol w:w="771"/>
        <w:gridCol w:w="174"/>
      </w:tblGrid>
      <w:tr>
        <w:trPr/>
        <w:tc>
          <w:tcPr>
            <w:tcW w:w="167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stock-based compensation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net of tax effect</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 Net Income (Loss) Per Share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two classes of common stock, Class A and Class B. Basic and diluted earnings per share (“EPS”) attributable to common stockholders for Class A and Class B common stock were the same because they were entitled to the same liquidation and dividend rights.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income (loss) per share (in thousands, except per share data):</w:t>
      </w:r>
    </w:p>
    <w:tbl>
      <w:tblPr>
        <w:tblW w:w="9573" w:type="dxa"/>
        <w:jc w:val="left"/>
        <w:tblInd w:w="0" w:type="dxa"/>
        <w:tblLayout w:type="fixed"/>
        <w:tblCellMar>
          <w:top w:w="28" w:type="dxa"/>
          <w:left w:w="28" w:type="dxa"/>
          <w:bottom w:w="28" w:type="dxa"/>
          <w:right w:w="28" w:type="dxa"/>
        </w:tblCellMar>
      </w:tblPr>
      <w:tblGrid>
        <w:gridCol w:w="1422"/>
        <w:gridCol w:w="1251"/>
        <w:gridCol w:w="1257"/>
        <w:gridCol w:w="261"/>
        <w:gridCol w:w="725"/>
        <w:gridCol w:w="134"/>
        <w:gridCol w:w="134"/>
        <w:gridCol w:w="134"/>
        <w:gridCol w:w="134"/>
        <w:gridCol w:w="261"/>
        <w:gridCol w:w="762"/>
        <w:gridCol w:w="134"/>
        <w:gridCol w:w="109"/>
        <w:gridCol w:w="109"/>
        <w:gridCol w:w="109"/>
        <w:gridCol w:w="232"/>
        <w:gridCol w:w="762"/>
        <w:gridCol w:w="120"/>
        <w:gridCol w:w="120"/>
        <w:gridCol w:w="120"/>
        <w:gridCol w:w="120"/>
        <w:gridCol w:w="232"/>
        <w:gridCol w:w="762"/>
        <w:gridCol w:w="169"/>
      </w:tblGrid>
      <w:tr>
        <w:trPr/>
        <w:tc>
          <w:tcPr>
            <w:tcW w:w="142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(1,395)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49,623 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52,132 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shares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49,623 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52,132 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 diluted</w:t>
            </w:r>
          </w:p>
        </w:tc>
        <w:tc>
          <w:tcPr>
            <w:tcW w:w="2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(0.03)</w:t>
            </w:r>
          </w:p>
        </w:tc>
        <w:tc>
          <w:tcPr>
            <w:tcW w:w="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(0.19)</w:t>
            </w:r>
          </w:p>
        </w:tc>
        <w:tc>
          <w:tcPr>
            <w:tcW w:w="1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weighted-average outstanding shares of common stock equivalents were excluded from the computation of diluted net loss per share attributable to common stockholders for the periods presented because including them would have been anti-dilutive (in thousands):</w:t>
      </w:r>
    </w:p>
    <w:tbl>
      <w:tblPr>
        <w:tblW w:w="10205" w:type="dxa"/>
        <w:jc w:val="left"/>
        <w:tblInd w:w="0" w:type="dxa"/>
        <w:tblLayout w:type="fixed"/>
        <w:tblCellMar>
          <w:top w:w="28" w:type="dxa"/>
          <w:left w:w="28" w:type="dxa"/>
          <w:bottom w:w="28" w:type="dxa"/>
          <w:right w:w="28" w:type="dxa"/>
        </w:tblCellMar>
      </w:tblPr>
      <w:tblGrid>
        <w:gridCol w:w="1834"/>
        <w:gridCol w:w="1609"/>
        <w:gridCol w:w="1615"/>
        <w:gridCol w:w="298"/>
        <w:gridCol w:w="269"/>
        <w:gridCol w:w="257"/>
        <w:gridCol w:w="257"/>
        <w:gridCol w:w="257"/>
        <w:gridCol w:w="257"/>
        <w:gridCol w:w="298"/>
        <w:gridCol w:w="269"/>
        <w:gridCol w:w="257"/>
        <w:gridCol w:w="109"/>
        <w:gridCol w:w="109"/>
        <w:gridCol w:w="109"/>
        <w:gridCol w:w="280"/>
        <w:gridCol w:w="259"/>
        <w:gridCol w:w="243"/>
        <w:gridCol w:w="243"/>
        <w:gridCol w:w="243"/>
        <w:gridCol w:w="243"/>
        <w:gridCol w:w="280"/>
        <w:gridCol w:w="259"/>
        <w:gridCol w:w="351"/>
      </w:tblGrid>
      <w:tr>
        <w:trPr/>
        <w:tc>
          <w:tcPr>
            <w:tcW w:w="1834"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58"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Options to purchase common stock</w:t>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3,771</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3,224</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2,134</w:t>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Unvested restricted stock units</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1,337</w:t>
            </w:r>
          </w:p>
        </w:tc>
      </w:tr>
      <w:tr>
        <w:trPr/>
        <w:tc>
          <w:tcPr>
            <w:tcW w:w="5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ESPP</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w:t>
            </w:r>
          </w:p>
        </w:tc>
      </w:tr>
      <w:tr>
        <w:trPr/>
        <w:tc>
          <w:tcPr>
            <w:tcW w:w="5058"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equivalents excluded from net loss per share – diluted</w:t>
            </w:r>
          </w:p>
        </w:tc>
        <w:tc>
          <w:tcPr>
            <w:tcW w:w="8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3,948</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3,296</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3,521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11 – Income Taxes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calculated the provision for income taxes during interim reporting periods by applying an estimate of the annual effective tax rate (“AETR”) for the full fiscal year to “ordinary” income or loss (pretax income or loss excluding unusual or infrequently occurring discrete items) for the reporting period. The Company has determined that since small changes in estimated “ordinary” income would result in significant changes in the estimated AETR, the historical method would not provide a reliable estimate for the fiscal nine months ended September 30, 2024. Therefore, the discrete effective tax rate method has been used to calculate taxes for the fiscal nine months ended September 30,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provision for income taxes of $0.6 million and $0.1 million for the three months ended September 30, 2024 and 2023, respectively, and a provision for income taxes of $0.7 million and income tax benefit of $2.7 million for the nine months ended September 30, 2024 and 2023,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was (180)% and 6% for the three months ended September 30, 2024 and 2023, respectively, and (116)% and 22% for the nine months ended September 30, 2024 and 2023, respectively. The provision for income taxes for the nine months ended September 30, 2024 is related to tax benefits from foreign-derived intangible income, research tax credits, deductions for equity awards, partially offset by nondeductible stock-based compensation and Section 162(m) limitation on the tax deductibility of officers’ compensation.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12 – Segment Information</w:t>
      </w:r>
      <w:r>
        <w:rPr>
          <w:color w:val="000000"/>
        </w:rPr>
        <w:t xml:space="preserv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total revenue by geographic area based on the publisher’s billing address (in thousands):</w:t>
      </w:r>
    </w:p>
    <w:tbl>
      <w:tblPr>
        <w:tblW w:w="7171" w:type="dxa"/>
        <w:jc w:val="left"/>
        <w:tblInd w:w="0" w:type="dxa"/>
        <w:tblLayout w:type="fixed"/>
        <w:tblCellMar>
          <w:top w:w="28" w:type="dxa"/>
          <w:left w:w="28" w:type="dxa"/>
          <w:bottom w:w="28" w:type="dxa"/>
          <w:right w:w="28" w:type="dxa"/>
        </w:tblCellMar>
      </w:tblPr>
      <w:tblGrid>
        <w:gridCol w:w="544"/>
        <w:gridCol w:w="476"/>
        <w:gridCol w:w="479"/>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the world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long-lived assets, net, which consist primarily of property and equipment and operating lease right-of-use assets, by geographic area (in thousands):</w:t>
      </w:r>
    </w:p>
    <w:tbl>
      <w:tblPr>
        <w:tblW w:w="4105" w:type="dxa"/>
        <w:jc w:val="left"/>
        <w:tblInd w:w="0" w:type="dxa"/>
        <w:tblLayout w:type="fixed"/>
        <w:tblCellMar>
          <w:top w:w="28" w:type="dxa"/>
          <w:left w:w="28" w:type="dxa"/>
          <w:bottom w:w="28" w:type="dxa"/>
          <w:right w:w="28" w:type="dxa"/>
        </w:tblCellMar>
      </w:tblPr>
      <w:tblGrid>
        <w:gridCol w:w="544"/>
        <w:gridCol w:w="476"/>
        <w:gridCol w:w="479"/>
        <w:gridCol w:w="231"/>
        <w:gridCol w:w="790"/>
        <w:gridCol w:w="119"/>
        <w:gridCol w:w="109"/>
        <w:gridCol w:w="109"/>
        <w:gridCol w:w="109"/>
        <w:gridCol w:w="221"/>
        <w:gridCol w:w="757"/>
        <w:gridCol w:w="161"/>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the world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13 – 401(k) Plan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$1.2 million and $1.0 million in matching contributions to the 401(k) Plan for the nine months ended September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76" w:before="120" w:after="283"/>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This Quarterly Report on Form 10-Q contains forward-looking statements within the meaning of Section 27A of the Securities Act of 1933, as amended, and Section 21E of the Securities Exchange Act of 1934, as amended. These forward-looking statements generally are identified by the words “believe,” “may,” “will,” “potentially,” “estimate,” “continue,” “anticipate,” “intend,” “could,” “would,” “project,” “plan,” “expect,” and similar expressions. Examples of forward-looking statements include, but are not limited to, statements we make regarding our ability to maintain our growth and profitability, our ability to attract and retain publishers, and our expectations concerning the advertising industry.</w:t>
      </w:r>
    </w:p>
    <w:p>
      <w:pPr>
        <w:pStyle w:val="TextBody"/>
        <w:bidi w:val="0"/>
        <w:spacing w:lineRule="auto" w:line="288" w:before="120" w:after="283"/>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These forward-looking statements are subject to a number of risks, uncertainties and assumptions, including those described in “Risk Factors” and elsewhere in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pStyle w:val="TextBody"/>
        <w:bidi w:val="0"/>
        <w:spacing w:lineRule="auto" w:line="288" w:before="120" w:after="283"/>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w:t>
      </w:r>
    </w:p>
    <w:p>
      <w:pPr>
        <w:pStyle w:val="TextBody"/>
        <w:bidi w:val="0"/>
        <w:spacing w:lineRule="auto" w:line="288" w:before="120" w:after="283"/>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The following discussion should be read in conjunction with the unaudited condensed consolidated financial statements and the related notes thereto included elsewhere in this Quarterly Report on Form 10-Q, and the audited consolidated financial statements and notes thereto and management’s discussion and analysis of financial condition and results of operations for the fiscal year ended December 31, 2023 included in our Annual Report on Form 10-K filed with the U.S. Securities and Exchange Commission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independent technology company seeking to maximize customer value by delivering digital advertising’s supply chain of the future.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technology platform empowers the world’s leading digital content creators (which we refer to as “publishers”) across the open internet to maximize monetization of their advertising inventory. Our platform also provides control and transparency to buyers, which includes advertisers, agencies, agency trading desks, and demand side platforms (“DSPs”), (which we collectively refer to as “buyers”) and enables both publishers and buyers to drive better business outcomes. Our infrastructure-driven approach allows for the efficient processing and utilization of data in real time. By delivering scalable and flexible programmatic innovation, we believe we improve outcomes for our customers while championing a vibrant and transparent digital advertising supply chain.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focus on the strengths that we believe provide us with long-term competitive advantages. These strengths include our global, omnichannel reach which targets a diverse set of publishers touching many ad formats and digital device types, including mobile app, mobile web, desktop, display, video, over-the-top video/connected TV (“OTT/CTV”), and rich media. Additionally, as an independent infrastructure provider prioritizing transparency, we can be more closely aligned with both publishers and buyers which has enabled us to build direct relationships with publishers, advertisers, agencies, and DSPs and create bespoke products that meet our customers’ needs. We have also maintained a demonstrated track record of stability and agility to address these market conditions and provide superior outcomes for both publishers and buyers. Finally, we have designed our technology to efficiently process real-time advertising transactions while leveraging data to optimize outcomes for publishers and buyers. We own and operate our software and hardware infrastructure globally, which saves significant infrastructure expenditures as compared to public cloud alternatives.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Industry Trends and Macroeconomic Factors</w:t>
      </w:r>
    </w:p>
    <w:p>
      <w:pPr>
        <w:pStyle w:val="TextBody"/>
        <w:bidi w:val="0"/>
        <w:spacing w:lineRule="auto" w:line="288" w:before="12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digital advertising ecosystem continues to evolve and adapt at a rapid pace. Some noted trends include the continued growth of digital media across multiple platforms, a continued increase in the number of ad impressions processed and analyzed in real-time by each participant in the digital advertising ecosystem, and a desire for transparency and control throughout the supply chain from both the buyers and publishers. Additionally, rapidly evolving data and privacy regulations and industry standards continue to impact our business. For example, in July 2024, Google announced it will no longer deprecate its use of third-party cookies in Chrome and instead ask users to opt-in or opt-out of cookies in Chrome, which may impact the industry’s anticipated shift to alternative identity solutions.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shd w:fill="FFFFFF" w:val="clear"/>
        </w:rPr>
        <w:t>Additionally, recent</w:t>
      </w:r>
      <w:r>
        <w:rPr>
          <w:color w:val="000000"/>
        </w:rPr>
        <w:t xml:space="preserve"> </w:t>
      </w:r>
      <w:r>
        <w:rPr>
          <w:rFonts w:ascii="Times New Roman;sans-serif" w:hAnsi="Times New Roman;sans-serif"/>
          <w:b w:val="false"/>
          <w:color w:val="000000"/>
          <w:sz w:val="20"/>
        </w:rPr>
        <w:t>interest rate increases, foreign currency fluctuation and persistent inflation in the U.S. and other markets globally continue to create economic volatility and dislocation in the capital and credit markets in the U.S. and globally. To date, we have not observed material impacts in our business or outlook, but we intend to continue to monitor macroeconomic conditions closely and may determine to take certain financial or operational actions in response to such conditions to the extent our business begins to be adversely impacted.</w:t>
      </w:r>
      <w:r>
        <w:rPr>
          <w:color w:val="000000"/>
          <w:shd w:fill="FFFFFF" w:val="clear"/>
        </w:rPr>
        <w:t xml:space="preserve"> </w:t>
      </w:r>
    </w:p>
    <w:p>
      <w:pPr>
        <w:pStyle w:val="TextBody"/>
        <w:bidi w:val="0"/>
        <w:spacing w:lineRule="auto" w:line="288" w:before="12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we are positioned to benefit from tailwinds in the advertising industry, including the rapid proliferation of digital media, the need for purpose-built infrastructure to address the increasing complexity in the digital advertising landscape, and increasing consumer time spent online.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“Risk Factors” in this report and in our Annual Report on Form 10-K for the year ended December 31, 2023 for further discussion of the risks related to inflation, rising interest rates, foreign currency fluctuations and public health crises on our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Business Highlights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financial highlights of our business performance:</w:t>
      </w:r>
    </w:p>
    <w:tbl>
      <w:tblPr>
        <w:tblW w:w="9410" w:type="dxa"/>
        <w:jc w:val="left"/>
        <w:tblInd w:w="0" w:type="dxa"/>
        <w:tblLayout w:type="fixed"/>
        <w:tblCellMar>
          <w:top w:w="28" w:type="dxa"/>
          <w:left w:w="28" w:type="dxa"/>
          <w:bottom w:w="28" w:type="dxa"/>
          <w:right w:w="28" w:type="dxa"/>
        </w:tblCellMar>
      </w:tblPr>
      <w:tblGrid>
        <w:gridCol w:w="124"/>
        <w:gridCol w:w="1199"/>
        <w:gridCol w:w="1199"/>
        <w:gridCol w:w="1216"/>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Operating loss</w:t>
            </w:r>
            <w:r>
              <w:rPr>
                <w:rFonts w:ascii="Times New Roman;sans-serif" w:hAnsi="Times New Roman;sans-serif"/>
                <w:b w:val="false"/>
                <w:color w:val="000000"/>
                <w:sz w:val="13"/>
              </w:rPr>
              <w:t>(2)</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income (loss)</w:t>
            </w:r>
            <w:r>
              <w:rPr>
                <w:rFonts w:ascii="Times New Roman;sans-serif" w:hAnsi="Times New Roman;sans-serif"/>
                <w:b w:val="false"/>
                <w:color w:val="000000"/>
                <w:sz w:val="13"/>
              </w:rPr>
              <w:t>(2)</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6"/>
              </w:rPr>
              <w:t>(1)(2)</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val="false"/>
                <w:color w:val="000000"/>
                <w:sz w:val="20"/>
              </w:rPr>
              <w:t>Net cash provided by operating activities</w:t>
            </w:r>
            <w:r>
              <w:rPr>
                <w:rFonts w:ascii="Times New Roman;sans-serif" w:hAnsi="Times New Roman;sans-serif"/>
                <w:b w:val="false"/>
                <w:color w:val="000000"/>
                <w:sz w:val="13"/>
              </w:rPr>
              <w:t>(2)</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 a definition of Adjusted EBITDA, an explanation of our management’s use of this measure, and a reconciliation of Adjusted EBITDA to net income, see “Non-GAAP Financial Measure.”</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(2)Amounts for the nine months ended September 30, 2023 include a provision for bad debt of $5.7 million relating to a Demand Side Platform (“DSP”) buyer of our platform that filed for Chapter 11 bankruptcy.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Strategy and Performance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growth and financial performance are dependent on many factors, including those described below.</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Attract New Customers and Expand our Relationship with Existing Customers Globally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dollar-based retention rate is an important indicator of publisher satisfaction and usage of our platform, as well as potential revenue for future periods. We calculate our net dollar-based retention rate at the end of each quarter for a cumulative twelve months. We calculate our net dollar-based retention rate by starting with the revenue from publishers in the prior trailing twelve-month period (“Prior Period Revenue”). We then calculate the revenue from these same publishers in the current trailing twelve-month period (“Current Period Revenue”). Current Period Revenue includes any upsells and is net of contraction or attrition, but excludes revenue from new publishers.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net dollar-based retention rate equals the Current Period Revenue divided by Prior Period Revenue. Our net dollar-based retention rate was 112% for the trailing twelve months ended September 30, 2024 and 97% for the trailing twelve months ended September 30, 2023. Our revenue growth in the period ended September 30, 2024 and 2023 was primarily attributable to an increase in the number of ad impressions processed from our publishers, upselling additional products, penetration of header bidding for mobile app and digital video, and increased demand from the growth of our buyer relationships primarily through SPO agreements.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Further, we work with DSPs to help them reduce their costs and improve advertiser ROI, which in turn makes us the specialized cloud infrastructure platform of choice for many of our buying partners. We depend upon a limited number of large DSPs for a large percentage of impressions purchased and our business results, including revenues, may be impacted by changes in their pricing strategies, bidding algorithms or go-to market efforts. As buyers increasingly consolidate their spending with fewer larger technology platforms, we seek to bring an increased proportion of their digital ad spending to our platform through direct deals. </w:t>
      </w:r>
      <w:r>
        <w:rPr>
          <w:rFonts w:ascii="Times New Roman;sans-serif" w:hAnsi="Times New Roman;sans-serif"/>
          <w:b w:val="false"/>
          <w:color w:val="000000"/>
          <w:sz w:val="22"/>
          <w:shd w:fill="FFFFFF" w:val="clear"/>
        </w:rPr>
        <w:t>S</w:t>
      </w:r>
      <w:r>
        <w:rPr>
          <w:rFonts w:ascii="Times New Roman;sans-serif" w:hAnsi="Times New Roman;sans-serif"/>
          <w:b w:val="false"/>
          <w:color w:val="000000"/>
          <w:sz w:val="20"/>
        </w:rPr>
        <w:t>upply Path Optimization (“SPO”) continues to be a major growth driver for us as we add new SPO relationships and expand existing ones. We have been investing in SPO technology and partnerships for five years and SPO represented over 50% of total activity for the three months ended September 30, 2024.</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Monetization Excellence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monetizing digital impressions by coordinating over a hundred billion real-time auctions and nearly a trillion bids globally on a daily basis, using our specialized cloud software, machine learning algorithms, and scaled transaction infrastructure. Valuable ad impressions are transparent and data rich, viewable by humans, and verifiable. Each ad impression we auction consists of 631 independent data parameters, which can yield valuable insights if recorded and analyzed properly. This processing of voluminous data for each ad impression must occur in less than half a second as consumers expect a seamless digital ad experience.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Infrastructure Platform Efficiency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track record of expanding the capacity of our infrastructure platform, while maintaining or reducing the corresponding costs related to processing impressions transacted on our platform on a per impression basis. We expect to continue to invest in both software and hardware infrastructure to continue growing the number of valuable ad impressions we process on our platform.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In September 2024, our platform processed approximately 781 billion ad impressions daily, each in a fraction of a second.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publishers who use our platform. We generate revenue primarily through fees charged to our publishers, which are generally a percentage of the value of the advertising impressions that publishers monetize on the platform. We also generate revenues from our other products such as OpenWrap, our header bidding solution, and Connect, our solution that provides additional data and insights to buyers, which are sold separate from or in conjunction with use of our platform. In 2023, we launched Activate, which allows buyers to execute direct deals on our platform with publisher inventory, and Convert, our commerce media solution.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of data center co-location costs, depreciation expense related to hardware supporting our platform, amortization expense related to capitalized internal-use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 xml:space="preserve">Technology and Development. </w:t>
      </w:r>
      <w:r>
        <w:rPr>
          <w:rFonts w:ascii="Times New Roman;sans-serif" w:hAnsi="Times New Roman;sans-serif"/>
          <w:b w:val="false"/>
          <w:color w:val="000000"/>
          <w:sz w:val="20"/>
        </w:rPr>
        <w:t>Technology and development expenses consist of personnel costs, including salaries, bonuses, stock-based compensation, and employee benefits costs, allocated facilities costs, and professional services. These expenses include costs incurred in the development, implementation and maintenance of internal-use software, including platform and related infrastructure. We expend technology and development costs as incurred, except to the extent that such costs are associated with internal-use software development that qualifies for capitalization. We expect technology and development expenses to generally increase in absolute dollars in future periods.</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Sales and marketing expenses consist of personnel costs, including salaries, bonuses, stock-based compensation, and employee 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General and administrative expenses consist of personnel costs, including salaries, bonuses, stock-based compensation, and 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inter-office travel and conferences.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Total Other Income (expense), Net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consists of interest income and other income (expense), net. Interest income is generated by investing excess cash into money market accounts and marketable securities. Other income (expense), net consists primarily of gains and losses from foreign currency exchange transactions.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investment gains and losses, whether realized from dispositions or unrealized from changes in market prices of equity securities, are generally meaningless in understanding our reported results or evaluating the economic performance of our businesses. These gains and losses have caused and will continue to cause significant volatility in our periodic earnings.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(benefit from) income taxes consists primarily of federal, state, and foreign income taxes. Our provision for income taxes or income tax benefit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differs from the U.S. federal statutory income tax rate due to state taxes, foreign tax rate differences, research tax credits, and stock-based compensation.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condensed consolidated results of operations data and such data as a percentage of revenue for the periods presented. The period-to-period comparison of results is not necessarily indicative of results for future periods.</w:t>
      </w:r>
    </w:p>
    <w:tbl>
      <w:tblPr>
        <w:tblW w:w="9107" w:type="dxa"/>
        <w:jc w:val="left"/>
        <w:tblInd w:w="0" w:type="dxa"/>
        <w:tblLayout w:type="fixed"/>
        <w:tblCellMar>
          <w:top w:w="28" w:type="dxa"/>
          <w:left w:w="28" w:type="dxa"/>
          <w:bottom w:w="28" w:type="dxa"/>
          <w:right w:w="28" w:type="dxa"/>
        </w:tblCellMar>
      </w:tblPr>
      <w:tblGrid>
        <w:gridCol w:w="1241"/>
        <w:gridCol w:w="1094"/>
        <w:gridCol w:w="1100"/>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6"/>
              </w:rPr>
              <w:t>(2)</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6"/>
              </w:rPr>
              <w:t>(2)</w:t>
            </w:r>
            <w:r>
              <w:rPr>
                <w:rFonts w:ascii="Times New Roman;sans-serif" w:hAnsi="Times New Roman;sans-serif"/>
                <w:b w:val="false"/>
                <w:color w:val="000000"/>
                <w:sz w:val="20"/>
              </w:rPr>
              <w:t>:</w:t>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(1)Amounts for the nine months ended September 30, 2023 include a provision for bad debt of $5.7 million relating to a DSP buyer of our platform that filed for Chapter 11 bankruptcy.</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(2)</w:t>
      </w:r>
      <w:r>
        <w:rPr>
          <w:rFonts w:ascii="Times New Roman;sans-serif" w:hAnsi="Times New Roman;sans-serif"/>
          <w:b w:val="false"/>
          <w:color w:val="000000"/>
          <w:sz w:val="18"/>
        </w:rPr>
        <w:t>Amounts include stock-based compensation expense before tax benefit as follows:</w:t>
      </w:r>
    </w:p>
    <w:tbl>
      <w:tblPr>
        <w:tblW w:w="9096" w:type="dxa"/>
        <w:jc w:val="left"/>
        <w:tblInd w:w="0" w:type="dxa"/>
        <w:tblLayout w:type="fixed"/>
        <w:tblCellMar>
          <w:top w:w="28" w:type="dxa"/>
          <w:left w:w="28" w:type="dxa"/>
          <w:bottom w:w="28" w:type="dxa"/>
          <w:right w:w="28" w:type="dxa"/>
        </w:tblCellMar>
      </w:tblPr>
      <w:tblGrid>
        <w:gridCol w:w="1247"/>
        <w:gridCol w:w="1099"/>
        <w:gridCol w:w="1103"/>
        <w:gridCol w:w="257"/>
        <w:gridCol w:w="752"/>
        <w:gridCol w:w="133"/>
        <w:gridCol w:w="133"/>
        <w:gridCol w:w="133"/>
        <w:gridCol w:w="133"/>
        <w:gridCol w:w="257"/>
        <w:gridCol w:w="752"/>
        <w:gridCol w:w="133"/>
        <w:gridCol w:w="109"/>
        <w:gridCol w:w="109"/>
        <w:gridCol w:w="109"/>
        <w:gridCol w:w="227"/>
        <w:gridCol w:w="775"/>
        <w:gridCol w:w="117"/>
        <w:gridCol w:w="117"/>
        <w:gridCol w:w="117"/>
        <w:gridCol w:w="117"/>
        <w:gridCol w:w="227"/>
        <w:gridCol w:w="775"/>
        <w:gridCol w:w="165"/>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9,354 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tbl>
      <w:tblPr>
        <w:tblW w:w="9198" w:type="dxa"/>
        <w:jc w:val="left"/>
        <w:tblInd w:w="0" w:type="dxa"/>
        <w:tblLayout w:type="fixed"/>
        <w:tblCellMar>
          <w:top w:w="28" w:type="dxa"/>
          <w:left w:w="28" w:type="dxa"/>
          <w:bottom w:w="28" w:type="dxa"/>
          <w:right w:w="28" w:type="dxa"/>
        </w:tblCellMar>
      </w:tblPr>
      <w:tblGrid>
        <w:gridCol w:w="1242"/>
        <w:gridCol w:w="1094"/>
        <w:gridCol w:w="1098"/>
        <w:gridCol w:w="233"/>
        <w:gridCol w:w="233"/>
        <w:gridCol w:w="557"/>
        <w:gridCol w:w="224"/>
        <w:gridCol w:w="224"/>
        <w:gridCol w:w="224"/>
        <w:gridCol w:w="233"/>
        <w:gridCol w:w="233"/>
        <w:gridCol w:w="557"/>
        <w:gridCol w:w="109"/>
        <w:gridCol w:w="109"/>
        <w:gridCol w:w="109"/>
        <w:gridCol w:w="233"/>
        <w:gridCol w:w="233"/>
        <w:gridCol w:w="530"/>
        <w:gridCol w:w="213"/>
        <w:gridCol w:w="213"/>
        <w:gridCol w:w="213"/>
        <w:gridCol w:w="233"/>
        <w:gridCol w:w="233"/>
        <w:gridCol w:w="618"/>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percentage of revenue)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Revenue, Cost of Revenue and Gross Profit</w:t>
      </w:r>
    </w:p>
    <w:tbl>
      <w:tblPr>
        <w:tblW w:w="7233" w:type="dxa"/>
        <w:jc w:val="left"/>
        <w:tblInd w:w="0" w:type="dxa"/>
        <w:tblLayout w:type="fixed"/>
        <w:tblCellMar>
          <w:top w:w="28" w:type="dxa"/>
          <w:left w:w="28" w:type="dxa"/>
          <w:bottom w:w="28" w:type="dxa"/>
          <w:right w:w="28" w:type="dxa"/>
        </w:tblCellMar>
      </w:tblPr>
      <w:tblGrid>
        <w:gridCol w:w="607"/>
        <w:gridCol w:w="535"/>
        <w:gridCol w:w="537"/>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6"/>
        <w:gridCol w:w="186"/>
        <w:gridCol w:w="54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three months ended September 30, 2024 increased by $8.1 million, or 13%, compared to the three months ended September 30, 2023. Revenue for the nine months ended September 30, 2024 increased by $23.3 million, or 13%, compared to the nine months ended September 30, 2023. Our revenues were primarily driven by increased impressions processed on our platform, new revenue streams, and growth in customer relationships. In addition,our revenues for the three and nine months ended September 30, 2024 benefited by approximately $4.2 million and $5.3 million, respectively, from incremental political spend in the United States due to the 2024 presidential election. Our business was negatively impacted by bidding methodology changes implemented by one of our buyers in the second half of the second fiscal quarter.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served approximately 1,900 publishers and app developers worldwide on our platform, compared to approximately 1,750 publishers and app developers worldwide as of September 30, 2023. For purposes of our publisher count, we aggregate multiple business accounts from separate divisions, segments or subsidiaries into a single “master” publisher based on our assessment of the related nature of the group.</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revenues to be affected by macroeconomic conditions for the remainder of 2024, and will continue to be impacted by the bidding methodology changes implemented by one of our buyers in the near term. The magnitude of these impacts on our future revenues is difficult to predict.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$0.6 million for the three months ended September 30, 2024 compared to the three months ended September 30, 2023, primarily due to a $1.1 million decrease in data center costs offset by a $0.4 million increase in personnel costs as headcount increased. Overall, our cost of revenue per impression processed for the three months ended September 30, 2024 decreased by approximately 22% compared to the three months ended September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$1.1 million for the nine months ended September 30, 2024 compared to the nine months ended September 30, 2023, primarily due to a $0.9 million increase in depreciation of data center equipment and amortization of internal-use software, and a $1.5 million increase in personnel costs, offset by a $1.6 million decrease in data center costs. Overall, our cost of revenue per impression processed for the nine months ended September 30, 2024 decreased by approximately 19% compared to the nine months ended September 30, 2023.</w:t>
      </w:r>
    </w:p>
    <w:p>
      <w:pPr>
        <w:pStyle w:val="TextBody"/>
        <w:bidi w:val="0"/>
        <w:spacing w:lineRule="auto" w:line="288" w:before="120" w:after="283"/>
        <w:ind w:left="0" w:right="0" w:firstLine="346"/>
        <w:jc w:val="both"/>
        <w:rPr>
          <w:rFonts w:ascii="Times New Roman;sans-serif" w:hAnsi="Times New Roman;sans-serif"/>
          <w:b w:val="false"/>
          <w:color w:val="000000"/>
          <w:sz w:val="20"/>
        </w:rPr>
      </w:pPr>
      <w:r>
        <w:rPr>
          <w:rFonts w:ascii="Times New Roman;sans-serif" w:hAnsi="Times New Roman;sans-serif"/>
          <w:b w:val="false"/>
          <w:color w:val="000000"/>
          <w:sz w:val="20"/>
        </w:rPr>
        <w:t>Our gross margin of 64% for the three months ended September 30, 2024 increased compared to 59% for the three months ended September 30, 2023, and our gross margin of 63% for the nine months ended September 30, 2024 increased compared to 59% for the nine months ended September 30, 2023 primarily due to acceleration of revenue growth.</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cost of revenue to be higher in 2024 compared to 2023 in absolute dollars as we continue to expand our capacity to process impressions.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Technology and Development</w:t>
      </w:r>
    </w:p>
    <w:tbl>
      <w:tblPr>
        <w:tblW w:w="7803" w:type="dxa"/>
        <w:jc w:val="left"/>
        <w:tblInd w:w="0" w:type="dxa"/>
        <w:tblLayout w:type="fixed"/>
        <w:tblCellMar>
          <w:top w:w="28" w:type="dxa"/>
          <w:left w:w="28" w:type="dxa"/>
          <w:bottom w:w="28" w:type="dxa"/>
          <w:right w:w="28" w:type="dxa"/>
        </w:tblCellMar>
      </w:tblPr>
      <w:tblGrid>
        <w:gridCol w:w="930"/>
        <w:gridCol w:w="815"/>
        <w:gridCol w:w="81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technology and development costs for the three months ended September 30, 2024 was primarily due to an increase of $2.9 million in personnel costs as headcount increased, partially offset by an increase of $1.0 million related to the capitalization of internal-use software.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technology and development costs for the nine months ended September 30, 2024 was primarily due to an increase of $6.7 million in personnel costs as headcount increased and an increase in facilities costs of $0.5 million, partially offset by an increase of $2.1 million related to the capitalization of internal-use software.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technology and development expenses to continue to increase in 2024 compared to 2023 in absolute dollars, primarily due to additional headcount and investment in technological innovation.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6993" w:type="dxa"/>
        <w:jc w:val="left"/>
        <w:tblInd w:w="0" w:type="dxa"/>
        <w:tblLayout w:type="fixed"/>
        <w:tblCellMar>
          <w:top w:w="28" w:type="dxa"/>
          <w:left w:w="28" w:type="dxa"/>
          <w:bottom w:w="28" w:type="dxa"/>
          <w:right w:w="28" w:type="dxa"/>
        </w:tblCellMar>
      </w:tblPr>
      <w:tblGrid>
        <w:gridCol w:w="634"/>
        <w:gridCol w:w="558"/>
        <w:gridCol w:w="562"/>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costs for the three months ended September 30, 2024 increased primarily due to a $3.8 million increase in personnel costs and a $0.2 million increase in facilities costs.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costs for the nine months ended September 30, 2024 increased primarily due to a $9.0 million increase in personnel costs and a $0.7 million increase in facilities costs, offset by a decrease in amortization of intangible assets of $0.9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expenses to increase in 2024 compared to 2023 in absolute dollars primarily due to additional headcount investment and marketing programs.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582" w:type="dxa"/>
        <w:jc w:val="left"/>
        <w:tblInd w:w="0" w:type="dxa"/>
        <w:tblLayout w:type="fixed"/>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03"/>
        <w:gridCol w:w="203"/>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revenue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for the three months ended September 30, 2024 primarily due to a $1.9 million increase in personnel costs and a $1.0 million increase in professional services fees.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for the nine months ended September 30, 2024 primarily due to a $5.2 million increase in personnel costs and a $1.0 million increase in professional services fees, offset by a $5.7 million decrease in provision for bad debt relating to a DSP buyer of our platform that filed for Chapter 11 bankruptcy in June 2023 and a $0.5 million decrease in property taxes.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general and administrative expenses to increase in 2024 compared to 2023 in absolute dollars primarily due to additional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6542" w:type="dxa"/>
        <w:jc w:val="left"/>
        <w:tblInd w:w="0" w:type="dxa"/>
        <w:tblLayout w:type="fixed"/>
        <w:tblCellMar>
          <w:top w:w="28" w:type="dxa"/>
          <w:left w:w="28" w:type="dxa"/>
          <w:bottom w:w="28" w:type="dxa"/>
          <w:right w:w="28" w:type="dxa"/>
        </w:tblCellMar>
      </w:tblPr>
      <w:tblGrid>
        <w:gridCol w:w="494"/>
        <w:gridCol w:w="433"/>
        <w:gridCol w:w="437"/>
        <w:gridCol w:w="257"/>
        <w:gridCol w:w="752"/>
        <w:gridCol w:w="133"/>
        <w:gridCol w:w="133"/>
        <w:gridCol w:w="133"/>
        <w:gridCol w:w="133"/>
        <w:gridCol w:w="257"/>
        <w:gridCol w:w="752"/>
        <w:gridCol w:w="133"/>
        <w:gridCol w:w="109"/>
        <w:gridCol w:w="109"/>
        <w:gridCol w:w="109"/>
        <w:gridCol w:w="211"/>
        <w:gridCol w:w="541"/>
        <w:gridCol w:w="109"/>
        <w:gridCol w:w="109"/>
        <w:gridCol w:w="109"/>
        <w:gridCol w:w="109"/>
        <w:gridCol w:w="218"/>
        <w:gridCol w:w="218"/>
        <w:gridCol w:w="54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decreased for the three months ended September 30, 2024 compared to the prior year period due to a decrease in the Company’s interest-bearing securities balance. Interest income increased for the nine months ended September 30, 2024 compared to the prior year period due to the increase in interest rates.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tbl>
      <w:tblPr>
        <w:tblW w:w="7813" w:type="dxa"/>
        <w:jc w:val="left"/>
        <w:tblInd w:w="0" w:type="dxa"/>
        <w:tblLayout w:type="fixed"/>
        <w:tblCellMar>
          <w:top w:w="28" w:type="dxa"/>
          <w:left w:w="28" w:type="dxa"/>
          <w:bottom w:w="28" w:type="dxa"/>
          <w:right w:w="28" w:type="dxa"/>
        </w:tblCellMar>
      </w:tblPr>
      <w:tblGrid>
        <w:gridCol w:w="863"/>
        <w:gridCol w:w="760"/>
        <w:gridCol w:w="762"/>
        <w:gridCol w:w="266"/>
        <w:gridCol w:w="778"/>
        <w:gridCol w:w="137"/>
        <w:gridCol w:w="137"/>
        <w:gridCol w:w="137"/>
        <w:gridCol w:w="137"/>
        <w:gridCol w:w="266"/>
        <w:gridCol w:w="684"/>
        <w:gridCol w:w="137"/>
        <w:gridCol w:w="109"/>
        <w:gridCol w:w="109"/>
        <w:gridCol w:w="109"/>
        <w:gridCol w:w="211"/>
        <w:gridCol w:w="691"/>
        <w:gridCol w:w="109"/>
        <w:gridCol w:w="109"/>
        <w:gridCol w:w="109"/>
        <w:gridCol w:w="109"/>
        <w:gridCol w:w="269"/>
        <w:gridCol w:w="271"/>
        <w:gridCol w:w="54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decreased for the three months ended September 30, 2024 due to foreign exchange rate fluctuations. Other income (expense), net increased for the nine months ended September 30, 2024 compared to the prior year period due to other income of $4.0 million from the Google Privacy Sandbox initiative in connection with their previous initiative to phase out the use of third-party cookies. This income was related to our efforts to build and test integrations with the privacy sandbox.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tbl>
      <w:tblPr>
        <w:tblW w:w="8788" w:type="dxa"/>
        <w:jc w:val="left"/>
        <w:tblInd w:w="0" w:type="dxa"/>
        <w:tblLayout w:type="fixed"/>
        <w:tblCellMar>
          <w:top w:w="28" w:type="dxa"/>
          <w:left w:w="28" w:type="dxa"/>
          <w:bottom w:w="28" w:type="dxa"/>
          <w:right w:w="28" w:type="dxa"/>
        </w:tblCellMar>
      </w:tblPr>
      <w:tblGrid>
        <w:gridCol w:w="1243"/>
        <w:gridCol w:w="1094"/>
        <w:gridCol w:w="1098"/>
        <w:gridCol w:w="266"/>
        <w:gridCol w:w="589"/>
        <w:gridCol w:w="137"/>
        <w:gridCol w:w="137"/>
        <w:gridCol w:w="137"/>
        <w:gridCol w:w="137"/>
        <w:gridCol w:w="266"/>
        <w:gridCol w:w="873"/>
        <w:gridCol w:w="137"/>
        <w:gridCol w:w="109"/>
        <w:gridCol w:w="109"/>
        <w:gridCol w:w="109"/>
        <w:gridCol w:w="211"/>
        <w:gridCol w:w="616"/>
        <w:gridCol w:w="109"/>
        <w:gridCol w:w="109"/>
        <w:gridCol w:w="109"/>
        <w:gridCol w:w="109"/>
        <w:gridCol w:w="269"/>
        <w:gridCol w:w="271"/>
        <w:gridCol w:w="54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effective tax rate for the three months ended September 30, 2024 of (180)% and the federal statutory income tax rate of 21% was related to tax benefits from foreign-derived intangible income (FDII), research tax credits and deductions for equity awards, partially offset by nondeductible stock-based compensation, and Section 162(m) limitation on the tax deductibility of officers' compensation. The effective income tax rate of 6% for the three months ended September 30, 2023 was related to the tax benefit from FDII, the 2022 federal tax provision to return adjustments and research tax credit, partially offset by an increase in nondeductible stock-based compensation and Section 162(m) limitation on the tax deductibility of officers’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difference between the effective tax rate for the nine months ended September 30, 2024 of (116)% and the federal statutory income tax rate of 21% was related to tax benefits from FDII, research tax credits and deductions for equity awards, partially offset by nondeductible stock-based compensation, and Section 162(m) limitation on the tax deductibility of officers' compensation. The effective income tax rate of 22% for the nine months ended September 30, 2023 was related to the tax benefit from FDII, research tax credit, and 2022 federal tax provision to return adjustments, partially offset by an increase in tax expense primarily related to nondeductible stock-based compensation, and Section 162(m) limitation on the tax deductibility of officers’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generally accepted accounting principles (“GAAP”), including, in particular, operating loss, net cash provided by operating activities, and net income (loss), we believe that Adjusted EBITDA, a non-GAAP measure, is useful in evaluating our operating performance. We define Adjusted EBITDA as net income (loss) adjusted for stock-based compensation expense, depreciation and amortization, interest income, and provision for (benefit from) income taxes.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Adjusted EBITDA to net income (loss) for each of the periods indicated:</w:t>
      </w:r>
    </w:p>
    <w:tbl>
      <w:tblPr>
        <w:tblW w:w="9079" w:type="dxa"/>
        <w:jc w:val="left"/>
        <w:tblInd w:w="0" w:type="dxa"/>
        <w:tblLayout w:type="fixed"/>
        <w:tblCellMar>
          <w:top w:w="28" w:type="dxa"/>
          <w:left w:w="28" w:type="dxa"/>
          <w:bottom w:w="28" w:type="dxa"/>
          <w:right w:w="28" w:type="dxa"/>
        </w:tblCellMar>
      </w:tblPr>
      <w:tblGrid>
        <w:gridCol w:w="1243"/>
        <w:gridCol w:w="1091"/>
        <w:gridCol w:w="1100"/>
        <w:gridCol w:w="235"/>
        <w:gridCol w:w="803"/>
        <w:gridCol w:w="121"/>
        <w:gridCol w:w="121"/>
        <w:gridCol w:w="121"/>
        <w:gridCol w:w="121"/>
        <w:gridCol w:w="235"/>
        <w:gridCol w:w="803"/>
        <w:gridCol w:w="121"/>
        <w:gridCol w:w="109"/>
        <w:gridCol w:w="109"/>
        <w:gridCol w:w="109"/>
        <w:gridCol w:w="227"/>
        <w:gridCol w:w="775"/>
        <w:gridCol w:w="117"/>
        <w:gridCol w:w="117"/>
        <w:gridCol w:w="117"/>
        <w:gridCol w:w="117"/>
        <w:gridCol w:w="227"/>
        <w:gridCol w:w="775"/>
        <w:gridCol w:w="165"/>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Net income (loss) </w:t>
            </w:r>
            <w:r>
              <w:rPr>
                <w:rFonts w:ascii="Times New Roman;sans-serif" w:hAnsi="Times New Roman;sans-serif"/>
                <w:b w:val="false"/>
                <w:color w:val="000000"/>
                <w:sz w:val="13"/>
              </w:rPr>
              <w:t>(1)(2)</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(deduct):</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Adjusted EBITDA</w:t>
            </w:r>
            <w:r>
              <w:rPr>
                <w:color w:val="000000"/>
              </w:rPr>
              <w:t xml:space="preserve"> </w:t>
            </w:r>
            <w:r>
              <w:rPr>
                <w:rFonts w:ascii="Times New Roman;sans-serif" w:hAnsi="Times New Roman;sans-serif"/>
                <w:b w:val="false"/>
                <w:color w:val="000000"/>
                <w:sz w:val="13"/>
              </w:rPr>
              <w:t>(1)</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(1)</w:t>
      </w:r>
      <w:r>
        <w:rPr>
          <w:rFonts w:ascii="Times New Roman;sans-serif" w:hAnsi="Times New Roman;sans-serif"/>
          <w:b w:val="false"/>
          <w:color w:val="000000"/>
          <w:sz w:val="18"/>
        </w:rPr>
        <w:t>Net income (loss) and Adjusted EBITDA for the nine months ended September 30, 2024 include other income of $4.0 million related to our efforts to build and test integrations with the Google Privacy Sandbox.</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(2)</w:t>
      </w:r>
      <w:r>
        <w:rPr>
          <w:rFonts w:ascii="Times New Roman;sans-serif" w:hAnsi="Times New Roman;sans-serif"/>
          <w:b w:val="false"/>
          <w:color w:val="000000"/>
          <w:sz w:val="18"/>
        </w:rPr>
        <w:t>Amounts for the nine months ended September 30, 2023 include a provision for bad debt of $5.7 million relating to a DSP buyer of our platform that filed for Chapter 11 bankruptcy.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Adjusted EBITDA is used by many investors and securities analysts in their evaluations of companies, it has limitations as an analytical tool, and should not be considered in isolation or as a substitute for analysis of our results of operations as reported under GAAP. Other companies in our industry may calculate Adjusted EBITDA differently than we do, limiting its usefulness as a comparative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financed our operations and capital expenditures primarily through utilization of cash generated from operations as well as sales of equity securities. As of September 30, 2024, we had cash, cash equivalents, and marketable securities of $140.4 million and net working capital, consisting of current assets less current liabilities, of $137.0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uses of cash are funding our operations and other working capital requirements. </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those set forth under “Risk Factors” in this report and in our Annual Report on Form 10-K for the year ended December 31, 2023. As of September 30, 2024, our material cash requirements included the contractual commitments set forth under “Contractual Obligations and Future Cash Requirements.”</w:t>
      </w:r>
      <w:r>
        <w:rPr>
          <w:color w:val="000000"/>
        </w:rPr>
        <w:t xml:space="preserv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authorized the 2023 Repurchase Program. Subsequently in February 2024, our board of directors authorized the 2024 Repurchase Program. During the nine months ended September 30, 2024, we repurchased 3,572,563 shares of Class A common stock under the 2023 Repurchase Program and 2024 Repurchase Program, collectively, for an aggregate purchase price of $64.8 million. As of September 30, 2024, $50.9 million remained available for future share repurchases under the 2024 Repurchase Program. The U.S. Inflation Reduction Act of 2022 was enacted on August 16, 2022 and requires a one percent excise tax on certain share repurchases in excess of shares issued for employee compensation made after December 31, 2022. For purposes of calculating the excise tax, repurchasing corporations are permitted to net the fair market value of certain stock issuances against the fair market value of stock repurchases during the same taxable year, with certain exceptions. We do not expect this provision to have a material effect on our condensed consolidated financial statements.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thereby resulting in seasonality in our revenues and corresponding accounts receivable and accounts payable balances, and our ability to manage our resources in anticipation of these trends will affect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6837" w:type="dxa"/>
        <w:jc w:val="left"/>
        <w:tblInd w:w="0" w:type="dxa"/>
        <w:tblLayout w:type="fixed"/>
        <w:tblCellMar>
          <w:top w:w="28" w:type="dxa"/>
          <w:left w:w="28" w:type="dxa"/>
          <w:bottom w:w="28" w:type="dxa"/>
          <w:right w:w="28" w:type="dxa"/>
        </w:tblCellMar>
      </w:tblPr>
      <w:tblGrid>
        <w:gridCol w:w="1520"/>
        <w:gridCol w:w="1338"/>
        <w:gridCol w:w="1342"/>
        <w:gridCol w:w="227"/>
        <w:gridCol w:w="775"/>
        <w:gridCol w:w="117"/>
        <w:gridCol w:w="117"/>
        <w:gridCol w:w="117"/>
        <w:gridCol w:w="117"/>
        <w:gridCol w:w="227"/>
        <w:gridCol w:w="775"/>
        <w:gridCol w:w="165"/>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(39,391)</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For example, we noted an impact to our operating cash flows for the nine months ended September 30, 2024 as a result of shifts in spend from one of our large DSPs. In addition, we expect seasonality to impact quarterly cash flows from operating activities.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For the nine months ended September 30, 2024, net cash provided by operating activities of $55.4 million resulted primarily from adjustments for non-cash expenses of $52.8 million, including $33.9 million for depreciation and amortization and $28.3 million for stock-based compensation, offset by a net loss of $1.4 million, an increase in accounts receivable of $1.3 million, an increase in prepaid expenses and other assets of</w:t>
      </w:r>
      <w:r>
        <w:rPr>
          <w:color w:val="000000"/>
        </w:rPr>
        <w:t xml:space="preserve"> </w:t>
      </w:r>
      <w:r>
        <w:rPr>
          <w:rFonts w:ascii="Times New Roman;sans-serif" w:hAnsi="Times New Roman;sans-serif"/>
          <w:b w:val="false"/>
          <w:color w:val="000000"/>
          <w:sz w:val="20"/>
        </w:rPr>
        <w:t>$1.6 million, a decrease in operating lease liabilities of</w:t>
      </w:r>
      <w:r>
        <w:rPr>
          <w:color w:val="000000"/>
        </w:rPr>
        <w:t xml:space="preserve"> </w:t>
      </w:r>
      <w:r>
        <w:rPr>
          <w:rFonts w:ascii="Times New Roman;sans-serif" w:hAnsi="Times New Roman;sans-serif"/>
          <w:b w:val="false"/>
          <w:color w:val="000000"/>
          <w:sz w:val="20"/>
        </w:rPr>
        <w:t>$4.7 million, and an increase in accounts payable of</w:t>
      </w:r>
      <w:r>
        <w:rPr>
          <w:color w:val="000000"/>
        </w:rPr>
        <w:t xml:space="preserve"> </w:t>
      </w:r>
      <w:r>
        <w:rPr>
          <w:rFonts w:ascii="Times New Roman;sans-serif" w:hAnsi="Times New Roman;sans-serif"/>
          <w:b w:val="false"/>
          <w:color w:val="000000"/>
          <w:sz w:val="20"/>
        </w:rPr>
        <w:t>$8.8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provided by operating activities of $52.4 million resulted primarily from adjustments for non-cash expenses of $48.3 million, including $33.7 million for depreciation and amortization and $21.5 million for stock-based compensation, provision for bad debt of $5.7 million relating to a DSP buyer of our platform that filed for Chapter 11 bankruptcy, a decrease in accounts receivable of $8.4 million, offset by a net loss of $9.8 million, and an increase in accrued liabilities of $3.2 million.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we used $9.6 million in investing activities, consisting of $13.3 million in purchases of property and equipment (primarily data center infrastructure), and $16.1 million of investments in capitalized internal-use software, and a net decrease in investments of marketable securities of $39.0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we used $7.7 million in investing activities, consisting of $5.4 million in purchases of property and equipment (primarily data center infrastructure), and $13.7 million of investments in capitalized internal-use software, a net increase in investments of marketable securities of $7.4 million, offset by an increase from sales of marketable securities prior to maturity of $18.9 million.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net cash used in financing activities of $64.6 million was primarily due to purchases of treasury stock of $65.4 million, payment of a business combination indemnification holdback of $2.1 million, offset by proceeds from employee stock option exercises of $1.6 million and proceeds from our employee stock purchase plan of $1.5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used in financing activities of $39.4 million was primarily due to purchases of treasury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Future Cash Requirements </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contractual obligations consist of non-cancelable leases for our various facilities. In certain cases, the terms of the lease agreements provide for rental payments that increase over time.</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our contractual obligations disclosed in our Annual Report on Form 10-K for the fiscal year ended December 31, 2023.</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$5.4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condensed consolidated financial statements in accordance with GAAP. The preparation of the condensed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Besides the update to our allowance for credit losses as included within "Note 2 – Basis of Presentation and Summary of Significant Accounting Policies" to the condensed consolidated financial statements in this report, there have been no significant changes in our critical accounting policies and estimates from those disclosed in our audited consolidated financial statements and notes thereto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market risks in the ordinary course of our business. These risks primarily include:</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$78.9 million and marketable securities of $61.5 million as of September 30, 2024, which consisted of bank deposits, money market accounts, time deposits, commercial paper,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September 30, 2024.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Currency Exchange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$1.6 million in our operating loss for the nine months ended September 30, 2024. A hypothetical 10% change in the U.S. Dollar to British Pound exchange rate could result in a change of $1.6 million in our operating loss for the nine months ended September 30, 2024.</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September 30, 2024. Based on such evaluation, our principal executive officer and principal financial officer have concluded that, as of such date, our disclosure controls and procedures were effective at a reasonable assurance level.</w:t>
      </w:r>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Rules 13a-15(d) and 15d-15(d) under the Exchange Act) that occurred during the quarter ended September 30, 2024 that has materially affected, or is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 and Procedures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8, “Commitments and Contingencies,” to our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a high degree of risk. The Company’s business, operations, financial results, and our stock price can be affected by a number of factors, whether currently known or unknown, including those described in Part I, Item 1A, "Risk Factors" in our Annual Report on Form 10-K for the year ended December 31, 2023. When any one or more of these risks materialize from time to time, such developments could adversely affect our business, financial condition, results of operations, cash flows, and the trading price of our stock. Below are material changes to our risk factors since our Annual Report on Form 10-K for the year ended December 31,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Results of Operations and Growth</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upon our buyer and publisher relationships, including channel partners, which aggregate large numbers of smaller publishers, to provide advertising space which we can offer to prospective buyers to continue to grow the usage of our platform. In doing so, we compete for both supply and demand with larger, well-established companies that may have technological or other advantages stemming from their broader experience in the market. We must continue to adapt and improve our technology to compete effectively, and customers have not always embraced our offerings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make technological or financial demands that we are unable or unwilling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relatively small number of premium publishers have historically accounted for a significant portion of the ad impressions sold on our platform, as well as a significant portion of our revenue from publishers, including a relatively small number of channel partners.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do not have minimum commitments from publishers. As a result, the amount, quality, and cost of ad impressions available to us can change at any time with little or no prior notice, and we cannot assure you that we will have access to a consistent volume or quality of ad impressions at a reasonable cost, or at all. We depend upon a relatively small number of premium publishers and channel partners and expect to continue to do so for the foreseeable future. To support our continued growth, we seek to add additional publishers and buyers to our platform and to expand current utilization with our existing publishers and buyers. Any disruptions in our relationships with premium publishers, buyers, or our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limited number of large demand side platforms (“DSPs”) – The Trade Desk and Google DV360 in particular – account for a significant portion of the ad impressions purchased on our platform. We depend upon these DSPs for a large percentage of impressions purchased and expect to do so for the foreseeable future. We have no minimum commitments from buyers to spend on our platform, so the amount of demand available to us and our ability to generate revenue from that demand can change at any time with little or no prior notice, and we cannot assure you that we will have access to a consistent volume or quality of ad campaigns or demand for our ad impressions at a reasonable or consistent price, or at all. A change in the pricing strategies, bidding algorithms or go-to-market efforts by one of these large DSPs could disproportionately impact our business results, including revenues. For example, bidding methodology changes implemented by one of our buyers in the second fiscal quarter of 2024 impacted our revenue for the quarter. Any disruptions in our relationships with DSPs, agencies, advertisers, or buyers could adversely affect our business, results of operations, and financial condition. If a buyer or group of buyers representing a significant portion of the demand in our marketplace decides to materially reduce use of our platform or the manner in which they use our platform, it could cause an immediate and significant decline in our revenue and profitability and adversely affect our business, results of operations, and financial condition.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are continuing to enhance such channels. We may not be able to accurately predict changes in overall advertiser demand for the channels in which we operate and cannot assure you that our investment in formats will correspond to any such changes or shifts in demand. 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may fluctuate significantly and may not meet our expectations or those of securities analysts and investors.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an evolving industry with ever-changing customer needs and behavior, and, as a result, our business has evolved over time such that our operating history makes it difficult to evaluate our business and future prospects. Our results of operations have fluctuated in the past, and future results of operations are likely to fluctuate as well. Although we have experienced prolonged revenue growth, we may not be able to sustain this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demand and pricing for ad impressions sold on our platform;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our access to valuable ad impressions from publishers;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responding to evolving industry standards and government regulations that impact our business, particularly in the areas of data protection and consumer privacy;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developing, maintaining, and expanding relationships with publishers, DSPs, agencies, advertisers, and buyers;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seasonality in our business;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innovating and developing new solutions that are adopted by and meet the needs of publishers, DSPs, agencies, advertisers, and buyers;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competing against companies with a larger customer base or greater financial or technical resources;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the structure of the buying and selling of ad impressions;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the pricing policies of publishers and competitors;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the bidding behavior of buyers of ad impressions;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demand due to changes in macroeconomic environment, including as a result of an economic downturn, recession, inflation, changes in interest rates or foreign exchange rates, disruptions to supply chains, or otherwise;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further expanding our business internationally;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recruiting, integrating, and retaining qualified and motivated employees, particularly engineers.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one or more of the factors above may result in significant fluctuations in our results of operations. You should not rely on our past results as an indicator of our future performance.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 Related to Data Collection and the Use of Collected Data</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disabling of third-party cookies, and the potential of others to develop proprietary replacements for cookies, could adversely affect our business, results of operations, and financial condition.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prominent technology companies have also announced intentions to discontinue the use of third-party cookies, and to develop alternative methods and mechanisms for targeting advertisements. For example, in January 2024, Google disabled third-party cookies for up to 1% of Chrome users and also initially announced plans to disable cookies for additional users beginning in the third quarter of 2024. However, in July 2024, Google announced it will no longer depreciate its use of third-party cookies in Chrome and instead ask users to opt-in or opt-out of cookies in Chrome. If companies are forced to rely on targeting methodologies other than cookies, such companies may instead rely on proprietary products, algorithms, or statistical methods to track consumers without cookies, or may utilize log-in credentials entered by consumers into other web properties owned by those companies such as their email services to track web usage, including usage across multiple devices.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such companies may build different and potentially proprietary consumer tracking methods into their widely used web browsers, which we may not be able to effectively use for our publishers and buyers. Many applications and other devices also allow consumers to avoid receiving advertisements by paying for subscriptions or other downloads. Although we believe our platform is well-positioned to adapt and continue to provide key data insights to our publishers without cookies, this transition could be more disruptive, slower, or more expensive than we currently anticipate, or publishers and buyers could elect to move a larger proportion of their advertising inventory or spend to these providers to take advantage of proprietary consumer tracking methods, any of which could materially affect our ability to serve our customers, publishers, and buyers, and our business, results of operations,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 OF EQUITY SECURITIES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our repurchases of our Class A common stock during the three months ended September 30, 2024:</w:t>
      </w:r>
    </w:p>
    <w:tbl>
      <w:tblPr>
        <w:tblW w:w="10205" w:type="dxa"/>
        <w:jc w:val="left"/>
        <w:tblInd w:w="0" w:type="dxa"/>
        <w:tblLayout w:type="fixed"/>
        <w:tblCellMar>
          <w:top w:w="28" w:type="dxa"/>
          <w:left w:w="28" w:type="dxa"/>
          <w:bottom w:w="28" w:type="dxa"/>
          <w:right w:w="28" w:type="dxa"/>
        </w:tblCellMar>
      </w:tblPr>
      <w:tblGrid>
        <w:gridCol w:w="798"/>
        <w:gridCol w:w="344"/>
        <w:gridCol w:w="348"/>
        <w:gridCol w:w="109"/>
        <w:gridCol w:w="109"/>
        <w:gridCol w:w="109"/>
        <w:gridCol w:w="712"/>
        <w:gridCol w:w="412"/>
        <w:gridCol w:w="413"/>
        <w:gridCol w:w="109"/>
        <w:gridCol w:w="109"/>
        <w:gridCol w:w="109"/>
        <w:gridCol w:w="269"/>
        <w:gridCol w:w="787"/>
        <w:gridCol w:w="139"/>
        <w:gridCol w:w="109"/>
        <w:gridCol w:w="109"/>
        <w:gridCol w:w="109"/>
        <w:gridCol w:w="895"/>
        <w:gridCol w:w="663"/>
        <w:gridCol w:w="665"/>
        <w:gridCol w:w="109"/>
        <w:gridCol w:w="109"/>
        <w:gridCol w:w="109"/>
        <w:gridCol w:w="357"/>
        <w:gridCol w:w="1829"/>
        <w:gridCol w:w="266"/>
      </w:tblGrid>
      <w:tr>
        <w:trPr/>
        <w:tc>
          <w:tcPr>
            <w:tcW w:w="79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center"/>
              <w:rPr/>
            </w:pPr>
            <w:r>
              <w:rPr>
                <w:rFonts w:ascii="Times New Roman;sans-serif" w:hAnsi="Times New Roman;sans-serif"/>
                <w:b w:val="false"/>
                <w:color w:val="000000"/>
                <w:sz w:val="20"/>
              </w:rPr>
              <w:t>Average Price Paid Per Share</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center"/>
              <w:rPr/>
            </w:pPr>
            <w:r>
              <w:rPr>
                <w:rFonts w:ascii="Times New Roman;sans-serif" w:hAnsi="Times New Roman;sans-serif"/>
                <w:b w:val="false"/>
                <w:color w:val="000000"/>
                <w:sz w:val="20"/>
              </w:rPr>
              <w:t>Total Number of Shares Purchased as Part of Publicly Announced Plans or Programs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center"/>
              <w:rPr/>
            </w:pPr>
            <w:r>
              <w:rPr>
                <w:rFonts w:ascii="Times New Roman;sans-serif" w:hAnsi="Times New Roman;sans-serif"/>
                <w:b w:val="false"/>
                <w:color w:val="000000"/>
                <w:sz w:val="20"/>
              </w:rPr>
              <w:t>Approximate Dollar Value of Shares that May Yet Be Purchased Under the Plans or Programs</w:t>
            </w:r>
            <w:r>
              <w:rPr>
                <w:rFonts w:ascii="Times New Roman;sans-serif" w:hAnsi="Times New Roman;sans-serif"/>
                <w:b w:val="false"/>
                <w:color w:val="000000"/>
                <w:sz w:val="13"/>
              </w:rPr>
              <w:t>(1)</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 – July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226,100 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226,100 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75,120,740 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 – August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1,230,917 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1,230,917 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56,091,910 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2024 –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337,700 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337,700 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50,894,232 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1,794,717 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1,794,717 </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above do not include the 1% excise tax on stock repurchases enacted by the Inflation Reduction Act of 2022.</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(1)On February 28, 2023, we announced the authorization of a share repurchase program for the repurchase of shares of our Class A common stock in an aggregate amount of up to $75 million through December 31, 2024. On February 22, 2024, we announced the authorization of an additional share repurchase program for the repurchase of shares of our Class A common stock in an aggregate amount of up to $100 million through December 31, 2025.</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333"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 Trading Plans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2024, the following trading plans were adopted or terminated:</w:t>
      </w:r>
    </w:p>
    <w:tbl>
      <w:tblPr>
        <w:tblW w:w="10205" w:type="dxa"/>
        <w:jc w:val="left"/>
        <w:tblInd w:w="0" w:type="dxa"/>
        <w:tblLayout w:type="fixed"/>
        <w:tblCellMar>
          <w:top w:w="28" w:type="dxa"/>
          <w:left w:w="28" w:type="dxa"/>
          <w:bottom w:w="28" w:type="dxa"/>
          <w:right w:w="28" w:type="dxa"/>
        </w:tblCellMar>
      </w:tblPr>
      <w:tblGrid>
        <w:gridCol w:w="315"/>
        <w:gridCol w:w="276"/>
        <w:gridCol w:w="282"/>
        <w:gridCol w:w="109"/>
        <w:gridCol w:w="109"/>
        <w:gridCol w:w="109"/>
        <w:gridCol w:w="448"/>
        <w:gridCol w:w="448"/>
        <w:gridCol w:w="453"/>
        <w:gridCol w:w="109"/>
        <w:gridCol w:w="109"/>
        <w:gridCol w:w="109"/>
        <w:gridCol w:w="269"/>
        <w:gridCol w:w="269"/>
        <w:gridCol w:w="273"/>
        <w:gridCol w:w="109"/>
        <w:gridCol w:w="109"/>
        <w:gridCol w:w="109"/>
        <w:gridCol w:w="211"/>
        <w:gridCol w:w="211"/>
        <w:gridCol w:w="216"/>
        <w:gridCol w:w="109"/>
        <w:gridCol w:w="109"/>
        <w:gridCol w:w="109"/>
        <w:gridCol w:w="257"/>
        <w:gridCol w:w="257"/>
        <w:gridCol w:w="238"/>
        <w:gridCol w:w="147"/>
        <w:gridCol w:w="147"/>
        <w:gridCol w:w="147"/>
        <w:gridCol w:w="368"/>
        <w:gridCol w:w="368"/>
        <w:gridCol w:w="381"/>
        <w:gridCol w:w="109"/>
        <w:gridCol w:w="109"/>
        <w:gridCol w:w="109"/>
        <w:gridCol w:w="471"/>
        <w:gridCol w:w="326"/>
        <w:gridCol w:w="327"/>
        <w:gridCol w:w="109"/>
        <w:gridCol w:w="109"/>
        <w:gridCol w:w="109"/>
        <w:gridCol w:w="330"/>
        <w:gridCol w:w="330"/>
        <w:gridCol w:w="478"/>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Rule 10b5-1*</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Non-Rule 10b5-1**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Shares to be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Expiration Date</w:t>
            </w:r>
          </w:p>
        </w:tc>
      </w:tr>
      <w:tr>
        <w:trPr/>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val="false"/>
                <w:color w:val="000000"/>
                <w:sz w:val="20"/>
              </w:rPr>
              <w:t xml:space="preserve">Lisa Gimbel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20" w:after="283"/>
              <w:jc w:val="center"/>
              <w:rPr/>
            </w:pPr>
            <w:r>
              <w:rPr>
                <w:rFonts w:ascii="Times New Roman;sans-serif" w:hAnsi="Times New Roman;sans-serif"/>
                <w:b w:val="false"/>
                <w:color w:val="000000"/>
                <w:sz w:val="20"/>
              </w:rPr>
              <w:t xml:space="preserve">X </w:t>
            </w:r>
            <w:r>
              <w:rPr>
                <w:rFonts w:ascii="Times New Roman;sans-serif" w:hAnsi="Times New Roman;sans-serif"/>
                <w:b w:val="false"/>
                <w:color w:val="000000"/>
                <w:sz w:val="13"/>
              </w:rPr>
              <w:t>(1)</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9/30/2025</w:t>
            </w:r>
          </w:p>
        </w:tc>
      </w:tr>
      <w:tr>
        <w:trPr/>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Intended to satisfy the affirmative defense of Rule 10b5-1(c).</w:t>
      </w:r>
    </w:p>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Not intended to satisfy the affirmative defense of Rule 10b5-1(c).</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(1)The 10b5-1 plan included a representation from the officer to the broker administering the plan that they were not in possession of any material nonpublic information regarding the Company or the securities subject to the plan. A similar representation was made to the Company in connection with the adoption of the plan under the Company’s insider trading policy. Those representations were made as of the date of adoption of the 10b5-1 plan, and speak only as of that date. In making those representations, there is no assurance with respect to any material non-public information of which the officer was unaware, or with respect to any material non-public information acquired by the officer or the Company after the date of the representation. </w:t>
      </w:r>
    </w:p>
    <w:p>
      <w:pPr>
        <w:pStyle w:val="TextBody"/>
        <w:bidi w:val="0"/>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(2)The aggregate number of RSU Shares that will be available for sale under the Plan is not yet determinable because the shares available will be net of shares sold to satisfy tax withholding obligations that arise in connection with the vesting and settlement of such RSU awards. As such, for purposes of this disclosure, the shares included in this table reflect the aggregate maximum number of shares underlying the holders RSUs without excluding the shares that will be sold to satisfy the tax withholding obligations.</w:t>
      </w:r>
    </w:p>
    <w:p>
      <w:pPr>
        <w:pStyle w:val="TextBody"/>
        <w:bidi w:val="0"/>
        <w:spacing w:before="120" w:after="283"/>
        <w:ind w:left="0" w:right="0" w:firstLine="360"/>
        <w:jc w:val="left"/>
        <w:rPr/>
      </w:pPr>
      <w:r>
        <w:rPr/>
      </w:r>
    </w:p>
    <w:p>
      <w:pPr>
        <w:pStyle w:val="TextBody"/>
        <w:bidi w:val="0"/>
        <w:spacing w:before="120" w:after="283"/>
        <w:ind w:left="0" w:right="0" w:hanging="36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7"/>
        <w:gridCol w:w="235"/>
        <w:gridCol w:w="236"/>
        <w:gridCol w:w="109"/>
        <w:gridCol w:w="109"/>
        <w:gridCol w:w="109"/>
        <w:gridCol w:w="1606"/>
        <w:gridCol w:w="1449"/>
        <w:gridCol w:w="1353"/>
        <w:gridCol w:w="109"/>
        <w:gridCol w:w="109"/>
        <w:gridCol w:w="109"/>
        <w:gridCol w:w="170"/>
        <w:gridCol w:w="170"/>
        <w:gridCol w:w="171"/>
        <w:gridCol w:w="109"/>
        <w:gridCol w:w="109"/>
        <w:gridCol w:w="109"/>
        <w:gridCol w:w="145"/>
        <w:gridCol w:w="145"/>
        <w:gridCol w:w="146"/>
        <w:gridCol w:w="109"/>
        <w:gridCol w:w="109"/>
        <w:gridCol w:w="109"/>
        <w:gridCol w:w="210"/>
        <w:gridCol w:w="210"/>
        <w:gridCol w:w="211"/>
        <w:gridCol w:w="109"/>
        <w:gridCol w:w="109"/>
        <w:gridCol w:w="109"/>
        <w:gridCol w:w="201"/>
        <w:gridCol w:w="201"/>
        <w:gridCol w:w="202"/>
        <w:gridCol w:w="109"/>
        <w:gridCol w:w="109"/>
        <w:gridCol w:w="109"/>
        <w:gridCol w:w="266"/>
        <w:gridCol w:w="266"/>
        <w:gridCol w:w="383"/>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32024exhibit311.htm">
              <w:r>
                <w:rPr>
                  <w:rStyle w:val="InternetLink"/>
                  <w:rFonts w:ascii="Times New Roman;sans-serif" w:hAnsi="Times New Roman;sans-serif"/>
                  <w:b w:val="false"/>
                  <w:color w:val="0000FF"/>
                  <w:sz w:val="20"/>
                  <w:u w:val="single"/>
                </w:rPr>
                <w:t>Certification of Chief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32024exhibit312.htm">
              <w:r>
                <w:rPr>
                  <w:rStyle w:val="InternetLink"/>
                  <w:rFonts w:ascii="Times New Roman;sans-serif" w:hAnsi="Times New Roman;sans-serif"/>
                  <w:b w:val="false"/>
                  <w:color w:val="0000FF"/>
                  <w:sz w:val="20"/>
                  <w:u w:val="single"/>
                </w:rPr>
                <w:t>Certification of Chief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32024exhibit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32024exhibit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120" w:after="283"/>
        <w:jc w:val="both"/>
        <w:rPr/>
      </w:pPr>
      <w:r>
        <w:rPr>
          <w:rFonts w:ascii="Times New Roman;sans-serif" w:hAnsi="Times New Roman;sans-serif"/>
          <w:b w:val="false"/>
          <w:color w:val="000000"/>
          <w:sz w:val="16"/>
        </w:rPr>
        <w:t>________________</w:t>
        <w:br/>
        <w:t xml:space="preserve">† </w:t>
      </w:r>
      <w:r>
        <w:rPr>
          <w:rFonts w:ascii="Times New Roman;sans-serif" w:hAnsi="Times New Roman;sans-serif"/>
          <w:b w:val="false"/>
          <w:color w:val="000000"/>
          <w:sz w:val="18"/>
        </w:rPr>
        <w:t>Registrant has omitted portions of the exhibit as permitted under Item 601(b)(10) of Regulation S-K.</w:t>
      </w:r>
    </w:p>
    <w:p>
      <w:pPr>
        <w:pStyle w:val="TextBody"/>
        <w:bidi w:val="0"/>
        <w:spacing w:lineRule="auto" w:line="288" w:before="120" w:after="283"/>
        <w:ind w:left="0" w:right="0" w:hanging="360"/>
        <w:jc w:val="both"/>
        <w:rPr/>
      </w:pPr>
      <w:r>
        <w:rPr>
          <w:rFonts w:ascii="Times New Roman;sans-serif" w:hAnsi="Times New Roman;sans-serif"/>
          <w:b w:val="false"/>
          <w:color w:val="000000"/>
          <w:sz w:val="16"/>
        </w:rPr>
        <w:t xml:space="preserve">*      </w:t>
      </w:r>
      <w:r>
        <w:rPr>
          <w:rFonts w:ascii="Times New Roman;sans-serif" w:hAnsi="Times New Roman;sans-serif"/>
          <w:b w:val="false"/>
          <w:color w:val="000000"/>
          <w:sz w:val="18"/>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Indicates a management contract,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31315b8f3d6e4649bf517c49f88f151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12, 2024</w:t>
      </w:r>
    </w:p>
    <w:tbl>
      <w:tblPr>
        <w:tblW w:w="3328" w:type="dxa"/>
        <w:jc w:val="right"/>
        <w:tblInd w:w="0" w:type="dxa"/>
        <w:tblLayout w:type="fixed"/>
        <w:tblCellMar>
          <w:top w:w="28" w:type="dxa"/>
          <w:left w:w="28" w:type="dxa"/>
          <w:bottom w:w="28" w:type="dxa"/>
          <w:right w:w="28" w:type="dxa"/>
        </w:tblCellMar>
      </w:tblPr>
      <w:tblGrid>
        <w:gridCol w:w="293"/>
        <w:gridCol w:w="258"/>
        <w:gridCol w:w="258"/>
        <w:gridCol w:w="731"/>
        <w:gridCol w:w="731"/>
        <w:gridCol w:w="105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332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PUBMATIC, INC.</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Pantelick</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2"/>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Rajeev K. Goel,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PubMatic,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
        <w:jc w:val="left"/>
        <w:rPr/>
      </w:pPr>
      <w:r>
        <w:rPr/>
      </w:r>
    </w:p>
    <w:tbl>
      <w:tblPr>
        <w:tblW w:w="4814" w:type="dxa"/>
        <w:jc w:val="left"/>
        <w:tblInd w:w="0" w:type="dxa"/>
        <w:tblLayout w:type="fixed"/>
        <w:tblCellMar>
          <w:top w:w="28" w:type="dxa"/>
          <w:left w:w="28" w:type="dxa"/>
          <w:bottom w:w="28" w:type="dxa"/>
          <w:right w:w="28" w:type="dxa"/>
        </w:tblCellMar>
      </w:tblPr>
      <w:tblGrid>
        <w:gridCol w:w="835"/>
        <w:gridCol w:w="734"/>
        <w:gridCol w:w="741"/>
        <w:gridCol w:w="731"/>
        <w:gridCol w:w="731"/>
        <w:gridCol w:w="1042"/>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12, 2024</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Rajeev K. Goel </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Rajeev K. Goel</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2"/>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Steven Pantelick,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PubMatic,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
        <w:jc w:val="both"/>
        <w:rPr/>
      </w:pPr>
      <w:r>
        <w:rPr/>
      </w:r>
    </w:p>
    <w:p>
      <w:pPr>
        <w:pStyle w:val="TextBody"/>
        <w:bidi w:val="0"/>
        <w:spacing w:lineRule="auto" w:line="300" w:before="0" w:after="2"/>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
        <w:jc w:val="left"/>
        <w:rPr/>
      </w:pPr>
      <w:r>
        <w:rPr/>
      </w:r>
    </w:p>
    <w:tbl>
      <w:tblPr>
        <w:tblW w:w="4830" w:type="dxa"/>
        <w:jc w:val="left"/>
        <w:tblInd w:w="0" w:type="dxa"/>
        <w:tblLayout w:type="fixed"/>
        <w:tblCellMar>
          <w:top w:w="28" w:type="dxa"/>
          <w:left w:w="28" w:type="dxa"/>
          <w:bottom w:w="28" w:type="dxa"/>
          <w:right w:w="28" w:type="dxa"/>
        </w:tblCellMar>
      </w:tblPr>
      <w:tblGrid>
        <w:gridCol w:w="835"/>
        <w:gridCol w:w="734"/>
        <w:gridCol w:w="741"/>
        <w:gridCol w:w="737"/>
        <w:gridCol w:w="737"/>
        <w:gridCol w:w="104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12, 2024</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Steven Pantelick </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76"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CHIEF EXECUTIVE OFFICER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PURSUANT TO 18 U.S.C. SECTION 1350,</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Rajeev K. Goel, Chief Executive Officer of PubMatic, Inc. (the “Company”), do hereby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Quarterly Report on Form 10-Q of the Company for the fiscal quarter ended September 30, 2024 (the “Report”) fully complies with the requirements of Section 13(a) or 15(d) of the Securities Exchange Act of 1934;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814" w:type="dxa"/>
        <w:jc w:val="left"/>
        <w:tblInd w:w="0" w:type="dxa"/>
        <w:tblLayout w:type="fixed"/>
        <w:tblCellMar>
          <w:top w:w="28" w:type="dxa"/>
          <w:left w:w="28" w:type="dxa"/>
          <w:bottom w:w="28" w:type="dxa"/>
          <w:right w:w="28" w:type="dxa"/>
        </w:tblCellMar>
      </w:tblPr>
      <w:tblGrid>
        <w:gridCol w:w="835"/>
        <w:gridCol w:w="734"/>
        <w:gridCol w:w="741"/>
        <w:gridCol w:w="731"/>
        <w:gridCol w:w="731"/>
        <w:gridCol w:w="1042"/>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12, 2024</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Rajeev K. Goel </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Rajeev K. Goel</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76"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CHIEF FINANCIAL OFFICER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PURSUANT TO 18 U.S.C. SECTION 1350,</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Steven Pantelick, Chief Financial Officer of PubMatic, Inc. (the “Company”), do hereby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Quarterly Report on Form 10-Q of the Company for the fiscal quarter ended September 30, 2024 (the “Report”) fully complies with the requirements of Section 13(a) or 15(d) of the Securities Exchange Act of 1934;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830" w:type="dxa"/>
        <w:jc w:val="left"/>
        <w:tblInd w:w="0" w:type="dxa"/>
        <w:tblLayout w:type="fixed"/>
        <w:tblCellMar>
          <w:top w:w="28" w:type="dxa"/>
          <w:left w:w="28" w:type="dxa"/>
          <w:bottom w:w="28" w:type="dxa"/>
          <w:right w:w="28" w:type="dxa"/>
        </w:tblCellMar>
      </w:tblPr>
      <w:tblGrid>
        <w:gridCol w:w="835"/>
        <w:gridCol w:w="734"/>
        <w:gridCol w:w="741"/>
        <w:gridCol w:w="737"/>
        <w:gridCol w:w="737"/>
        <w:gridCol w:w="104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12, 2024</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Steven Pantelick </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Pantelick</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19428</Words>
  <Characters>108115</Characters>
  <CharactersWithSpaces>126159</CharactersWithSpaces>
  <Paragraphs>2661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