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99060</wp:posOffset>
            </wp:positionV>
            <wp:extent cx="1697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78105</wp:posOffset>
            </wp:positionV>
            <wp:extent cx="1697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7"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highlight w:val="black"/>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31"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highlight w:val="black"/>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from________to________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001-39748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105410</wp:posOffset>
            </wp:positionV>
            <wp:extent cx="169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2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PUBMATIC, INC.</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68580</wp:posOffset>
            </wp:positionV>
            <wp:extent cx="1697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82" w:lineRule="exact"/>
        <w:rPr>
          <w:sz w:val="24"/>
          <w:szCs w:val="24"/>
          <w:color w:val="auto"/>
        </w:rPr>
      </w:pPr>
    </w:p>
    <w:tbl>
      <w:tblPr>
        <w:tblLayout w:type="fixed"/>
        <w:tblInd w:w="54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3240" w:type="dxa"/>
            <w:vAlign w:val="bottom"/>
            <w:gridSpan w:val="2"/>
          </w:tcPr>
          <w:p>
            <w:pPr>
              <w:jc w:val="center"/>
              <w:ind w:right="99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20-5863224</w:t>
            </w:r>
          </w:p>
        </w:tc>
      </w:tr>
      <w:tr>
        <w:trPr>
          <w:trHeight w:val="270"/>
        </w:trPr>
        <w:tc>
          <w:tcPr>
            <w:tcW w:w="44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324"/>
        </w:trPr>
        <w:tc>
          <w:tcPr>
            <w:tcW w:w="1200" w:type="dxa"/>
            <w:vAlign w:val="bottom"/>
          </w:tcPr>
          <w:p>
            <w:pPr>
              <w:spacing w:after="0"/>
              <w:rPr>
                <w:sz w:val="24"/>
                <w:szCs w:val="24"/>
                <w:color w:val="auto"/>
              </w:rPr>
            </w:pPr>
          </w:p>
        </w:tc>
        <w:tc>
          <w:tcPr>
            <w:tcW w:w="3240" w:type="dxa"/>
            <w:vAlign w:val="bottom"/>
            <w:gridSpan w:val="2"/>
          </w:tcPr>
          <w:p>
            <w:pPr>
              <w:jc w:val="center"/>
              <w:ind w:right="995"/>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70"/>
        </w:trPr>
        <w:tc>
          <w:tcPr>
            <w:tcW w:w="44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3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24"/>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70"/>
        </w:trPr>
        <w:tc>
          <w:tcPr>
            <w:tcW w:w="1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400" w:type="dxa"/>
            <w:vAlign w:val="bottom"/>
            <w:gridSpan w:val="5"/>
          </w:tcPr>
          <w:p>
            <w:pPr>
              <w:jc w:val="center"/>
              <w:ind w:right="22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24"/>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24"/>
        </w:trPr>
        <w:tc>
          <w:tcPr>
            <w:tcW w:w="1200" w:type="dxa"/>
            <w:vAlign w:val="bottom"/>
          </w:tcPr>
          <w:p>
            <w:pPr>
              <w:spacing w:after="0"/>
              <w:rPr>
                <w:sz w:val="24"/>
                <w:szCs w:val="24"/>
                <w:color w:val="auto"/>
              </w:rPr>
            </w:pPr>
          </w:p>
        </w:tc>
        <w:tc>
          <w:tcPr>
            <w:tcW w:w="8740" w:type="dxa"/>
            <w:vAlign w:val="bottom"/>
            <w:gridSpan w:val="6"/>
          </w:tcPr>
          <w:p>
            <w:pPr>
              <w:jc w:val="center"/>
              <w:ind w:right="870"/>
              <w:spacing w:after="0"/>
              <w:rPr>
                <w:sz w:val="20"/>
                <w:szCs w:val="20"/>
                <w:color w:val="auto"/>
              </w:rPr>
            </w:pPr>
            <w:r>
              <w:rPr>
                <w:rFonts w:ascii="Times New Roman" w:cs="Times New Roman" w:eastAsia="Times New Roman" w:hAnsi="Times New Roman"/>
                <w:sz w:val="18"/>
                <w:szCs w:val="18"/>
                <w:color w:val="auto"/>
                <w:w w:val="99"/>
              </w:rPr>
              <w:t>(Former name, former address and former fiscal year, if changed since last report)</w:t>
            </w:r>
          </w:p>
        </w:tc>
      </w:tr>
      <w:tr>
        <w:trPr>
          <w:trHeight w:val="372"/>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0" w:type="dxa"/>
            <w:vAlign w:val="bottom"/>
            <w:gridSpan w:val="5"/>
          </w:tcPr>
          <w:p>
            <w:pPr>
              <w:jc w:val="center"/>
              <w:ind w:right="221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17"/>
        </w:trPr>
        <w:tc>
          <w:tcPr>
            <w:tcW w:w="1200" w:type="dxa"/>
            <w:vAlign w:val="bottom"/>
          </w:tcPr>
          <w:p>
            <w:pPr>
              <w:spacing w:after="0"/>
              <w:rPr>
                <w:sz w:val="24"/>
                <w:szCs w:val="24"/>
                <w:color w:val="auto"/>
              </w:rPr>
            </w:pPr>
          </w:p>
        </w:tc>
        <w:tc>
          <w:tcPr>
            <w:tcW w:w="3240" w:type="dxa"/>
            <w:vAlign w:val="bottom"/>
            <w:gridSpan w:val="2"/>
          </w:tcPr>
          <w:p>
            <w:pPr>
              <w:jc w:val="center"/>
              <w:ind w:right="1815"/>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8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4440" w:type="dxa"/>
            <w:vAlign w:val="bottom"/>
            <w:gridSpan w:val="3"/>
          </w:tcPr>
          <w:p>
            <w:pPr>
              <w:jc w:val="center"/>
              <w:ind w:right="615"/>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PUBM</w:t>
            </w:r>
          </w:p>
        </w:tc>
        <w:tc>
          <w:tcPr>
            <w:tcW w:w="5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84"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54"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41"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Accelerated filer</w:t>
            </w:r>
          </w:p>
        </w:tc>
        <w:tc>
          <w:tcPr>
            <w:tcW w:w="1400" w:type="dxa"/>
            <w:vAlign w:val="bottom"/>
          </w:tcPr>
          <w:p>
            <w:pPr>
              <w:ind w:left="1240"/>
              <w:spacing w:after="0"/>
              <w:rPr>
                <w:sz w:val="20"/>
                <w:szCs w:val="20"/>
                <w:color w:val="auto"/>
              </w:rPr>
            </w:pPr>
            <w:r>
              <w:rPr>
                <w:rFonts w:ascii="Wingdings" w:cs="Wingdings" w:eastAsia="Wingdings" w:hAnsi="Wingdings"/>
                <w:sz w:val="18"/>
                <w:szCs w:val="18"/>
                <w:b w:val="1"/>
                <w:bCs w:val="1"/>
                <w:color w:val="auto"/>
                <w:w w:val="86"/>
              </w:rPr>
              <w:t>o</w:t>
            </w:r>
          </w:p>
        </w:tc>
      </w:tr>
      <w:tr>
        <w:trPr>
          <w:trHeight w:val="29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00" w:type="dxa"/>
            <w:vAlign w:val="bottom"/>
          </w:tcPr>
          <w:p>
            <w:pPr>
              <w:ind w:left="240"/>
              <w:spacing w:after="0"/>
              <w:rPr>
                <w:sz w:val="20"/>
                <w:szCs w:val="20"/>
                <w:color w:val="auto"/>
              </w:rPr>
            </w:pPr>
            <w:r>
              <w:rPr>
                <w:rFonts w:ascii="Wingdings" w:cs="Wingdings" w:eastAsia="Wingdings" w:hAnsi="Wingdings"/>
                <w:sz w:val="18"/>
                <w:szCs w:val="18"/>
                <w:b w:val="1"/>
                <w:bCs w:val="1"/>
                <w:color w:val="auto"/>
              </w:rPr>
              <w:t>o</w:t>
            </w:r>
          </w:p>
        </w:tc>
        <w:tc>
          <w:tcPr>
            <w:tcW w:w="52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00" w:type="dxa"/>
            <w:vAlign w:val="bottom"/>
          </w:tcPr>
          <w:p>
            <w:pPr>
              <w:ind w:left="1240"/>
              <w:spacing w:after="0"/>
              <w:rPr>
                <w:sz w:val="20"/>
                <w:szCs w:val="20"/>
                <w:color w:val="auto"/>
              </w:rPr>
            </w:pPr>
            <w:r>
              <w:rPr>
                <w:rFonts w:ascii="Wingdings" w:cs="Wingdings" w:eastAsia="Wingdings" w:hAnsi="Wingdings"/>
                <w:sz w:val="18"/>
                <w:szCs w:val="18"/>
                <w:b w:val="1"/>
                <w:bCs w:val="1"/>
                <w:color w:val="auto"/>
                <w:w w:val="86"/>
              </w:rPr>
              <w:t>o</w:t>
            </w:r>
          </w:p>
        </w:tc>
      </w:tr>
      <w:tr>
        <w:trPr>
          <w:trHeight w:val="324"/>
        </w:trPr>
        <w:tc>
          <w:tcPr>
            <w:tcW w:w="1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2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00" w:type="dxa"/>
            <w:vAlign w:val="bottom"/>
          </w:tcPr>
          <w:p>
            <w:pPr>
              <w:ind w:left="124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184"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May 1, 2024, the registrant had 41,452,195 shares of Class A common stock outstanding and 8,478,816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688975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22"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6554470</wp:posOffset>
            </wp:positionH>
            <wp:positionV relativeFrom="paragraph">
              <wp:posOffset>36830</wp:posOffset>
            </wp:positionV>
            <wp:extent cx="5486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ectPr>
          <w:pgSz w:w="11900" w:h="16838" w:orient="portrait"/>
          <w:cols w:equalWidth="0" w:num="1">
            <w:col w:w="10940"/>
          </w:cols>
          <w:pgMar w:left="320" w:top="229" w:right="6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Item 2.</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Item 3.</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Item 1.</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Item 1A.</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Item 2.</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Item 3.</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Item 4.</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Item 5.</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60" w:type="dxa"/>
            <w:vAlign w:val="bottom"/>
            <w:gridSpan w:val="13"/>
          </w:tcPr>
          <w:p>
            <w:pPr>
              <w:jc w:val="center"/>
              <w:ind w:right="34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3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45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Financial Statements (Unaudited)</w:t>
            </w:r>
          </w:p>
        </w:tc>
        <w:tc>
          <w:tcPr>
            <w:tcW w:w="1920" w:type="dxa"/>
            <w:vAlign w:val="bottom"/>
            <w:gridSpan w:val="5"/>
          </w:tcPr>
          <w:p>
            <w:pPr>
              <w:spacing w:after="0"/>
              <w:rPr>
                <w:sz w:val="24"/>
                <w:szCs w:val="24"/>
                <w:color w:val="auto"/>
              </w:rPr>
            </w:pPr>
          </w:p>
        </w:tc>
        <w:tc>
          <w:tcPr>
            <w:tcW w:w="30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24"/>
                <w:szCs w:val="24"/>
                <w:color w:val="auto"/>
              </w:rPr>
            </w:pPr>
          </w:p>
        </w:tc>
      </w:tr>
      <w:tr>
        <w:trPr>
          <w:trHeight w:val="358"/>
        </w:trPr>
        <w:tc>
          <w:tcPr>
            <w:tcW w:w="320" w:type="dxa"/>
            <w:vAlign w:val="bottom"/>
          </w:tcPr>
          <w:p>
            <w:pPr>
              <w:spacing w:after="0"/>
              <w:rPr>
                <w:sz w:val="24"/>
                <w:szCs w:val="24"/>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3200" w:type="dxa"/>
            <w:vAlign w:val="bottom"/>
            <w:gridSpan w:val="11"/>
          </w:tcPr>
          <w:p>
            <w:pPr>
              <w:spacing w:after="0"/>
              <w:rPr>
                <w:sz w:val="24"/>
                <w:szCs w:val="24"/>
                <w:color w:val="auto"/>
              </w:rPr>
            </w:pPr>
          </w:p>
        </w:tc>
        <w:tc>
          <w:tcPr>
            <w:tcW w:w="30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24"/>
                <w:szCs w:val="24"/>
                <w:color w:val="auto"/>
              </w:rPr>
            </w:pPr>
          </w:p>
        </w:tc>
      </w:tr>
      <w:tr>
        <w:trPr>
          <w:trHeight w:val="358"/>
        </w:trPr>
        <w:tc>
          <w:tcPr>
            <w:tcW w:w="320" w:type="dxa"/>
            <w:vAlign w:val="bottom"/>
          </w:tcPr>
          <w:p>
            <w:pPr>
              <w:spacing w:after="0"/>
              <w:rPr>
                <w:sz w:val="24"/>
                <w:szCs w:val="24"/>
                <w:color w:val="auto"/>
              </w:rPr>
            </w:pPr>
          </w:p>
        </w:tc>
        <w:tc>
          <w:tcPr>
            <w:tcW w:w="6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3180" w:type="dxa"/>
            <w:vAlign w:val="bottom"/>
            <w:gridSpan w:val="4"/>
          </w:tcPr>
          <w:p>
            <w:pPr>
              <w:jc w:val="center"/>
              <w:ind w:left="291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20" w:type="dxa"/>
            <w:vAlign w:val="bottom"/>
          </w:tcPr>
          <w:p>
            <w:pPr>
              <w:spacing w:after="0"/>
              <w:rPr>
                <w:sz w:val="24"/>
                <w:szCs w:val="24"/>
                <w:color w:val="auto"/>
              </w:rPr>
            </w:pPr>
          </w:p>
        </w:tc>
        <w:tc>
          <w:tcPr>
            <w:tcW w:w="6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3180" w:type="dxa"/>
            <w:vAlign w:val="bottom"/>
            <w:gridSpan w:val="4"/>
          </w:tcPr>
          <w:p>
            <w:pPr>
              <w:jc w:val="center"/>
              <w:ind w:left="291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20" w:type="dxa"/>
            <w:vAlign w:val="bottom"/>
          </w:tcPr>
          <w:p>
            <w:pPr>
              <w:spacing w:after="0"/>
              <w:rPr>
                <w:sz w:val="24"/>
                <w:szCs w:val="24"/>
                <w:color w:val="auto"/>
              </w:rPr>
            </w:pPr>
          </w:p>
        </w:tc>
        <w:tc>
          <w:tcPr>
            <w:tcW w:w="44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1740" w:type="dxa"/>
            <w:vAlign w:val="bottom"/>
            <w:gridSpan w:val="3"/>
          </w:tcPr>
          <w:p>
            <w:pPr>
              <w:spacing w:after="0"/>
              <w:rPr>
                <w:sz w:val="24"/>
                <w:szCs w:val="24"/>
                <w:color w:val="auto"/>
              </w:rPr>
            </w:pPr>
          </w:p>
        </w:tc>
        <w:tc>
          <w:tcPr>
            <w:tcW w:w="30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24"/>
                <w:szCs w:val="24"/>
                <w:color w:val="auto"/>
              </w:rPr>
            </w:pPr>
          </w:p>
        </w:tc>
      </w:tr>
      <w:tr>
        <w:trPr>
          <w:trHeight w:val="358"/>
        </w:trPr>
        <w:tc>
          <w:tcPr>
            <w:tcW w:w="320" w:type="dxa"/>
            <w:vAlign w:val="bottom"/>
          </w:tcPr>
          <w:p>
            <w:pPr>
              <w:spacing w:after="0"/>
              <w:rPr>
                <w:sz w:val="24"/>
                <w:szCs w:val="24"/>
                <w:color w:val="auto"/>
              </w:rPr>
            </w:pPr>
          </w:p>
        </w:tc>
        <w:tc>
          <w:tcPr>
            <w:tcW w:w="3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420" w:type="dxa"/>
            <w:vAlign w:val="bottom"/>
            <w:gridSpan w:val="9"/>
          </w:tcPr>
          <w:p>
            <w:pPr>
              <w:spacing w:after="0"/>
              <w:rPr>
                <w:sz w:val="24"/>
                <w:szCs w:val="24"/>
                <w:color w:val="auto"/>
              </w:rPr>
            </w:pPr>
          </w:p>
        </w:tc>
        <w:tc>
          <w:tcPr>
            <w:tcW w:w="30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4"/>
                <w:szCs w:val="24"/>
                <w:color w:val="auto"/>
              </w:rPr>
            </w:pPr>
          </w:p>
        </w:tc>
      </w:tr>
      <w:tr>
        <w:trPr>
          <w:trHeight w:val="358"/>
        </w:trPr>
        <w:tc>
          <w:tcPr>
            <w:tcW w:w="320" w:type="dxa"/>
            <w:vAlign w:val="bottom"/>
          </w:tcPr>
          <w:p>
            <w:pPr>
              <w:spacing w:after="0"/>
              <w:rPr>
                <w:sz w:val="24"/>
                <w:szCs w:val="24"/>
                <w:color w:val="auto"/>
              </w:rPr>
            </w:pPr>
          </w:p>
        </w:tc>
        <w:tc>
          <w:tcPr>
            <w:tcW w:w="40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2140" w:type="dxa"/>
            <w:vAlign w:val="bottom"/>
            <w:gridSpan w:val="8"/>
          </w:tcPr>
          <w:p>
            <w:pPr>
              <w:spacing w:after="0"/>
              <w:rPr>
                <w:sz w:val="24"/>
                <w:szCs w:val="24"/>
                <w:color w:val="auto"/>
              </w:rPr>
            </w:pPr>
          </w:p>
        </w:tc>
        <w:tc>
          <w:tcPr>
            <w:tcW w:w="30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4"/>
                <w:szCs w:val="24"/>
                <w:color w:val="auto"/>
              </w:rPr>
            </w:pPr>
          </w:p>
        </w:tc>
      </w:tr>
      <w:tr>
        <w:trPr>
          <w:trHeight w:val="358"/>
        </w:trPr>
        <w:tc>
          <w:tcPr>
            <w:tcW w:w="64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18</w:t>
            </w:r>
          </w:p>
        </w:tc>
      </w:tr>
      <w:tr>
        <w:trPr>
          <w:trHeight w:val="358"/>
        </w:trPr>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6"/>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r>
      <w:tr>
        <w:trPr>
          <w:trHeight w:val="358"/>
        </w:trPr>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180" w:type="dxa"/>
            <w:vAlign w:val="bottom"/>
            <w:gridSpan w:val="4"/>
          </w:tcPr>
          <w:p>
            <w:pPr>
              <w:jc w:val="center"/>
              <w:ind w:left="2910"/>
              <w:spacing w:after="0"/>
              <w:rPr>
                <w:sz w:val="20"/>
                <w:szCs w:val="20"/>
                <w:color w:val="auto"/>
              </w:rPr>
            </w:pPr>
            <w:r>
              <w:rPr>
                <w:rFonts w:ascii="Times New Roman" w:cs="Times New Roman" w:eastAsia="Times New Roman" w:hAnsi="Times New Roman"/>
                <w:sz w:val="18"/>
                <w:szCs w:val="18"/>
                <w:color w:val="0000FF"/>
                <w:w w:val="99"/>
              </w:rPr>
              <w:t>29</w:t>
            </w:r>
          </w:p>
        </w:tc>
      </w:tr>
      <w:tr>
        <w:trPr>
          <w:trHeight w:val="601"/>
        </w:trPr>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Borders>
              <w:bottom w:val="single" w:sz="8" w:color="0000FF"/>
            </w:tcBorders>
            <w:gridSpan w:val="10"/>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480" w:type="dxa"/>
            <w:vAlign w:val="bottom"/>
            <w:gridSpan w:val="2"/>
          </w:tcPr>
          <w:p>
            <w:pPr>
              <w:spacing w:after="0"/>
              <w:rPr>
                <w:sz w:val="24"/>
                <w:szCs w:val="24"/>
                <w:color w:val="auto"/>
              </w:rPr>
            </w:pPr>
          </w:p>
        </w:tc>
        <w:tc>
          <w:tcPr>
            <w:tcW w:w="30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r>
      <w:tr>
        <w:trPr>
          <w:trHeight w:val="345"/>
        </w:trPr>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120" w:type="dxa"/>
            <w:vAlign w:val="bottom"/>
            <w:gridSpan w:val="16"/>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r>
      <w:tr>
        <w:trPr>
          <w:trHeight w:val="358"/>
        </w:trPr>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180" w:type="dxa"/>
            <w:vAlign w:val="bottom"/>
            <w:gridSpan w:val="4"/>
          </w:tcPr>
          <w:p>
            <w:pPr>
              <w:jc w:val="center"/>
              <w:ind w:left="2910"/>
              <w:spacing w:after="0"/>
              <w:rPr>
                <w:sz w:val="20"/>
                <w:szCs w:val="20"/>
                <w:color w:val="auto"/>
              </w:rPr>
            </w:pPr>
            <w:r>
              <w:rPr>
                <w:rFonts w:ascii="Times New Roman" w:cs="Times New Roman" w:eastAsia="Times New Roman" w:hAnsi="Times New Roman"/>
                <w:sz w:val="18"/>
                <w:szCs w:val="18"/>
                <w:color w:val="0000FF"/>
                <w:w w:val="99"/>
              </w:rPr>
              <w:t>30</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358"/>
        </w:trPr>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180" w:type="dxa"/>
            <w:vAlign w:val="bottom"/>
            <w:gridSpan w:val="4"/>
          </w:tcPr>
          <w:p>
            <w:pPr>
              <w:jc w:val="center"/>
              <w:ind w:left="2910"/>
              <w:spacing w:after="0"/>
              <w:rPr>
                <w:sz w:val="20"/>
                <w:szCs w:val="20"/>
                <w:color w:val="auto"/>
              </w:rPr>
            </w:pPr>
            <w:r>
              <w:rPr>
                <w:rFonts w:ascii="Times New Roman" w:cs="Times New Roman" w:eastAsia="Times New Roman" w:hAnsi="Times New Roman"/>
                <w:sz w:val="18"/>
                <w:szCs w:val="18"/>
                <w:color w:val="0000FF"/>
                <w:w w:val="99"/>
              </w:rPr>
              <w:t>33</w:t>
            </w:r>
          </w:p>
        </w:tc>
      </w:tr>
      <w:tr>
        <w:trPr>
          <w:trHeight w:val="358"/>
        </w:trPr>
        <w:tc>
          <w:tcPr>
            <w:tcW w:w="43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120" w:type="dxa"/>
            <w:vAlign w:val="bottom"/>
            <w:gridSpan w:val="7"/>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358"/>
        </w:trPr>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140" w:type="dxa"/>
            <w:vAlign w:val="bottom"/>
            <w:gridSpan w:val="14"/>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358"/>
        </w:trPr>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4"/>
                <w:szCs w:val="24"/>
                <w:color w:val="auto"/>
              </w:rPr>
            </w:pPr>
          </w:p>
        </w:tc>
        <w:tc>
          <w:tcPr>
            <w:tcW w:w="4700" w:type="dxa"/>
            <w:vAlign w:val="bottom"/>
            <w:gridSpan w:val="15"/>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r>
      <w:tr>
        <w:trPr>
          <w:trHeight w:val="358"/>
        </w:trPr>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3180" w:type="dxa"/>
            <w:vAlign w:val="bottom"/>
            <w:gridSpan w:val="4"/>
          </w:tcPr>
          <w:p>
            <w:pPr>
              <w:jc w:val="center"/>
              <w:ind w:left="2910"/>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9"/>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358"/>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5700" w:type="dxa"/>
            <w:vAlign w:val="bottom"/>
            <w:gridSpan w:val="19"/>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561975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980" w:space="220"/>
            <w:col w:w="9740"/>
          </w:cols>
          <w:pgMar w:left="320" w:top="229" w:right="6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2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3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par values)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(unaudited)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96,835</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375,468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561,955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60,729</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intangible assets,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13,880</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626,190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695,243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347,673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25,684</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r>
      <w:tr>
        <w:trPr>
          <w:trHeight w:val="23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379,593</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399,044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33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per share, 10,000 shares authorized as of March 31, 2024 and December 31,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No shares issued and outstanding as of March 31, 2024 and December 31, 2023</w:t>
            </w:r>
          </w:p>
        </w:tc>
        <w:tc>
          <w:tcPr>
            <w:tcW w:w="2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3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per share; 1,000,000 Class A shares authorized as of March 31, 2024 and</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 46,327 shares issued and 41,393 shares outstanding as of March 31, 2024; 45,542 shares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41,502 shares outstanding as of December 31, 2023; 1,000,000 Class B shares authorized as of</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 and December 31, 2023; 11,626 shares issued and 8,486 shares outstanding as of March 31,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11,884 shares issued and 8,744 shares outstanding as of December 31, 2023</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 at cost; 8,074 and 7,180 shares as of March 31, 2024 and December 31, 2023, respectively</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(71,103)</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230,419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136,881</w:t>
            </w: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288,730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296,199</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626,190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695,243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229" w:right="339"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3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3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66,701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55,407</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25,424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24,815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14,027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12,572</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46,802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loss per share of Class A and Class B stock</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per share of Class A and Class B stock</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common stockholders: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50,039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50,039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52,740</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(5,854)</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3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214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3520" w:type="dxa"/>
            <w:vAlign w:val="bottom"/>
          </w:tcPr>
          <w:p>
            <w:pPr>
              <w:spacing w:after="0"/>
              <w:rPr>
                <w:sz w:val="10"/>
                <w:szCs w:val="10"/>
                <w:color w:val="auto"/>
              </w:rPr>
            </w:pPr>
          </w:p>
        </w:tc>
        <w:tc>
          <w:tcPr>
            <w:tcW w:w="214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0"/>
                <w:szCs w:val="10"/>
                <w:color w:val="auto"/>
              </w:rPr>
            </w:pPr>
          </w:p>
        </w:tc>
        <w:tc>
          <w:tcPr>
            <w:tcW w:w="960" w:type="dxa"/>
            <w:vAlign w:val="bottom"/>
            <w:gridSpan w:val="2"/>
            <w:vMerge w:val="restart"/>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220" w:type="dxa"/>
            <w:vAlign w:val="bottom"/>
            <w:gridSpan w:val="2"/>
            <w:vMerge w:val="restart"/>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0"/>
                <w:szCs w:val="10"/>
                <w:color w:val="auto"/>
              </w:rPr>
            </w:pPr>
          </w:p>
        </w:tc>
        <w:tc>
          <w:tcPr>
            <w:tcW w:w="920" w:type="dxa"/>
            <w:vAlign w:val="bottom"/>
            <w:gridSpan w:val="2"/>
            <w:vMerge w:val="restart"/>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35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6"/>
                <w:szCs w:val="16"/>
                <w:color w:val="auto"/>
              </w:rPr>
            </w:pPr>
          </w:p>
        </w:tc>
        <w:tc>
          <w:tcPr>
            <w:tcW w:w="8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37"/>
        </w:trPr>
        <w:tc>
          <w:tcPr>
            <w:tcW w:w="35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230,419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296,199</w:t>
            </w: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shares</w:t>
            </w:r>
          </w:p>
        </w:tc>
        <w:tc>
          <w:tcPr>
            <w:tcW w:w="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common stock related to RSU</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vesting</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26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49,879</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(86,857)</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241,179</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134,427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288,730</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8"/>
        </w:trPr>
        <w:tc>
          <w:tcPr>
            <w:tcW w:w="3520" w:type="dxa"/>
            <w:vAlign w:val="bottom"/>
          </w:tcPr>
          <w:p>
            <w:pPr>
              <w:spacing w:after="0"/>
              <w:rPr>
                <w:sz w:val="24"/>
                <w:szCs w:val="24"/>
                <w:color w:val="auto"/>
              </w:rPr>
            </w:pPr>
          </w:p>
        </w:tc>
        <w:tc>
          <w:tcPr>
            <w:tcW w:w="214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4"/>
                <w:szCs w:val="24"/>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24"/>
                <w:szCs w:val="24"/>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24"/>
                <w:szCs w:val="24"/>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24"/>
                <w:szCs w:val="24"/>
                <w:color w:val="auto"/>
              </w:rPr>
            </w:pPr>
          </w:p>
        </w:tc>
        <w:tc>
          <w:tcPr>
            <w:tcW w:w="8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3520" w:type="dxa"/>
            <w:vAlign w:val="bottom"/>
          </w:tcPr>
          <w:p>
            <w:pPr>
              <w:spacing w:after="0"/>
              <w:rPr>
                <w:sz w:val="9"/>
                <w:szCs w:val="9"/>
                <w:color w:val="auto"/>
              </w:rPr>
            </w:pPr>
          </w:p>
        </w:tc>
        <w:tc>
          <w:tcPr>
            <w:tcW w:w="214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0" w:type="dxa"/>
            <w:vAlign w:val="bottom"/>
            <w:gridSpan w:val="2"/>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35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35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195,677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312,188</w:t>
            </w: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shares</w:t>
            </w:r>
          </w:p>
        </w:tc>
        <w:tc>
          <w:tcPr>
            <w:tcW w:w="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common stock related to RSU</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vesting</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0" w:type="dxa"/>
            <w:vAlign w:val="bottom"/>
          </w:tcPr>
          <w:p>
            <w:pPr>
              <w:spacing w:after="0"/>
              <w:rPr>
                <w:sz w:val="1"/>
                <w:szCs w:val="1"/>
                <w:color w:val="auto"/>
              </w:rPr>
            </w:pPr>
          </w:p>
        </w:tc>
      </w:tr>
      <w:tr>
        <w:trPr>
          <w:trHeight w:val="26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52,323</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(19,384)</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203,597</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306,356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3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4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Accretion of discount on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4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61,292</w:t>
            </w:r>
          </w:p>
        </w:tc>
      </w:tr>
      <w:tr>
        <w:trPr>
          <w:trHeight w:val="24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(55,387)</w:t>
            </w:r>
          </w:p>
        </w:tc>
      </w:tr>
      <w:tr>
        <w:trPr>
          <w:trHeight w:val="24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4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(40,343)</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29,500</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business combination indemnification claims holdback</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to acquire treasury stock</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(13,122)</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92,382</w:t>
            </w: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79,260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capitalized as internal-use software costs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costs included in accounts payable and accrued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combination purchase consideration - indemnification claims holdback</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r>
      <w:tr>
        <w:trPr>
          <w:trHeight w:val="27"/>
        </w:trPr>
        <w:tc>
          <w:tcPr>
            <w:tcW w:w="8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229" w:right="339"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PUBMATIC,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PubMatic, Inc. (together with its subsidiaries, the “Company” or “PubMatic”) was founded in 2006. The Company has offices worldwide. The Company provides a specialized cloud infrastructure platform that enables real-time programmatic advertising transactions. The purpose-built technology and infrastructure provides superior outcomes for both publishers and advertisers leveraging an efficient design, machine learning, and data processing capabilities, with customer alignment and global omnichannel reach.</w:t>
      </w:r>
    </w:p>
    <w:p>
      <w:pPr>
        <w:spacing w:after="0" w:line="176" w:lineRule="exact"/>
        <w:rPr>
          <w:sz w:val="20"/>
          <w:szCs w:val="20"/>
          <w:color w:val="auto"/>
        </w:rPr>
      </w:pPr>
    </w:p>
    <w:p>
      <w:pPr>
        <w:ind w:right="52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2 – Basis of Presentation and Summary of Significant Accounting Policies </w:t>
      </w:r>
      <w:r>
        <w:rPr>
          <w:rFonts w:ascii="Times New Roman" w:cs="Times New Roman" w:eastAsia="Times New Roman" w:hAnsi="Times New Roman"/>
          <w:sz w:val="18"/>
          <w:szCs w:val="18"/>
          <w:b w:val="1"/>
          <w:bCs w:val="1"/>
          <w:i w:val="1"/>
          <w:iCs w:val="1"/>
          <w:color w:val="auto"/>
        </w:rPr>
        <w:t>Fiscal Year</w:t>
      </w: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December 31, and its fiscal quarters end on March 31, June 30, September 30, and December 31. References to fiscal year 2024, for example, refer to the fiscal year ending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PubMatic, Inc. and its wholly 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2024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2023, as filed with the SEC on February 28, 2024 (the “Annual Report”).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 The accompanying condensed consolidated financial statements include the accounts of PubMatic, Inc. and its wholly-owned subsidiaries. All intercompany accounts and transactions have been eliminated in consolidation. Certain prior period amounts reported in our condensed consolidated financial statements and notes thereto have been reclassified to conform to the current period presentation.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evaluates its estimates and assumptions on an ongoing basis using historical experience and other factors and adjusts those estimates and assumptions when facts and circumstances dictate. Actual results could materially differ from those estimates and assumptions. Due to the inherent uncertainty involved in making assumptions and estimates, events and changes in circumstances arising after March 31, 2024, may result in actual outcomes that differ from those contemplated by the Company’s assumptions and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 and Accounts Receivable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defines its revenue concentration based on revenue recognized from individual publishers. For the three months ended March 31, 2024 and 2023, no publisher represented more than 10% and one publisher represented 11% of the Company’s revenue, respectively. As of March 31, 2024, three buyers accounted for 33%, 22%, and 11% respectively, of accounts receivable. As of December 31, 2023, three buyers accounted for 30%, 21%, and 14%, respectively, of accounts receivable.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the invoiced amount, are unsecured, and do not bear interest. The allowance for credit losses is based on the best estimate of the amount of probable credit losses in existing accounts receivable. The allowance for credit losses is determined based on historical collection experience and the review in each period of the status of the then outstanding accounts receivable, while taking into consideration current customer information, collection history, and other relevant data. Account balances are written off against the allowance when the Company believes it is probable the receivable will not be recovered.</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the allowance for credit losses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beginning balance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provision for expected credit losses</w:t>
            </w:r>
          </w:p>
        </w:tc>
        <w:tc>
          <w:tcPr>
            <w:tcW w:w="102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8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ending balance</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1"/>
        </w:trPr>
        <w:tc>
          <w:tcPr>
            <w:tcW w:w="8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which expands annual and interim disclosure requirements for reportable segments, primarily through enhanced disclosures about significant segment expenses. ASU 2023-07 is effective for our annual periods beginning January 1, 2024, and for interim periods beginning January 1, 2025, with early adoption permitted. We are currently evaluating the potential effect that the updated standard will have on our financial statement disclosures.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FASB issued ASU 2023-09 "Income Taxes (Topic 740): Improvements to Income Tax Disclosures" to expand the disclosure requirements for income taxes, specifically related to the rate reconciliation and income taxes paid. ASU 2023-09 is effective for our annual periods beginning January 1, 2025, with early adoption permitted. We are currently evaluating the potential effect that the updated standard will have on our financial statement disclosures.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121"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and liabilities measured on a recurring basis by level within the fair value hierarchy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34,996</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34,996</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15,288</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50,284</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47,835</w:t>
            </w:r>
          </w:p>
        </w:tc>
        <w:tc>
          <w:tcPr>
            <w:tcW w:w="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47,835</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debt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46,052</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46,052</w:t>
            </w: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93,887</w:t>
            </w:r>
          </w:p>
        </w:tc>
        <w:tc>
          <w:tcPr>
            <w:tcW w:w="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93,887</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5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34,996</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109,175</w:t>
            </w: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144,171</w:t>
            </w: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96"/>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
        </w:trPr>
        <w:tc>
          <w:tcPr>
            <w:tcW w:w="5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42,126</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42,126</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w:t>
            </w: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42,126</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54,654</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50,962</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50,962</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debt securities</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debt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42,878</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42,878</w:t>
            </w: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96,835</w:t>
            </w:r>
          </w:p>
        </w:tc>
        <w:tc>
          <w:tcPr>
            <w:tcW w:w="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96,835</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42,126</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109,363</w:t>
            </w: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151,489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financial assets consist of Level 1 and 2 assets. The Company had no Level 3 assets or liabilities for the periods presented. The Company classifies its cash equivalents and marketable securities within Level 1 or Level 2 because they are valued using either quoted market prices or inputs other than quoted prices which are directly or indirectly observable in the market, including readily-available pricing sources for the identical underlying security which may not be actively traded. The Company’s fixed income available-for-sale securities consist of high quality, investment grade securities from diverse issuers. The valuation techniques used to measure the fair value of the Company’s marketable securities were derived from non-binding market consensus prices that are corroborated by observable market data and quoted market prices for similar instruments.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securities by significant investment categories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5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47,835</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and government debt securities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46,052</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
        </w:trPr>
        <w:tc>
          <w:tcPr>
            <w:tcW w:w="5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5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50,962</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debt securities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debt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42,878</w:t>
            </w:r>
          </w:p>
        </w:tc>
      </w:tr>
      <w:tr>
        <w:trPr>
          <w:trHeight w:val="264"/>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96,839</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96,835</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remaining contractual maturity of all marketable securities was within one year as of March 31, 2024 and December 31, 2023. Realized gains and losses were not material for the three months ended March 31, 2024 and 2023. As of March 31, 2024 and 2023, there were no securities that were in an unrealized loss position for more than twelve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81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hardware, computer equipment and software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137,709</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equipment and software, gross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201,443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(140,714)</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equipment, and software (excluding amortization of internal-use software) was $6.6 million and $7.3 million for the three months ended March 31, 2024 and 2023, respectively.</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capitalized $5.9 million and $5.4 million in software development costs during the three months ended March 31, 2024 and 2023, respectively. Amortization expense of internal-use software was $4.2 million and $2.8 million during the three months ended March 31, 2024 and 2023, respectively. These costs are included within cost of revenue in the condensed consolidated statements of operations.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 did not recognize any impairment charges on its long-lived assets during the three months ended March 31, 2024 and 2023,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payable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publishers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335,061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12,612</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accounts payable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289,176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347,673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Senior Secured Credit Facilities Agreement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17, 2022, the Company entered into a Senior Secured Credit Facilities Credit Agreement (the “Credit Agreement”) with the several lenders parties thereto (the “Lenders”), and Silicon Valley Bank (“SVB”), as administrative agent, lead arranger, issuing lender, and swingline lender. The Credit Agreement matures on October 17, 2027.</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Credit Agreement provides a revolving credit facility in an aggregate principal amount of $110 million (“the Revolving Credit Facility”), including a $25 million letter of credit sub-facility and a $25 million swingline sub-facility. The Company’s obligations under the Revolving Credit Facility and the letter of credit sub-facility (described in Note 8) with SVB are secured by substantially all of its assets excluding its intellectual property. The Company may, subject to certain customary conditions, on one or more occasions increase commitments under the Revolving Credit Facility in an amount not to exceed $90 million in the aggregate (the “Incremental Facility”). Each Lender will have discretion to determine whether it will participate in any Incremental Facility.</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will accrue interest at rates equal, at the Company’s election, to (i) the applicable secured overnight financing rate (“SOFR”),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1.00%, plus the applicable margin for such loans. The applicable margin for borrowings bearing interest on the SOFR ranges from 2.00% to 2.75%, and the applicable margin for borrowings bearing interest based on the ABR ranges from 1.00% to 1.75%. As of March 31, 2024, the applicable interest rate under the revolving credit facility was 9.50%. The Company will pay a quarterly commitment fee during the term of the Credit Agreement for the non-use of available funds ranging from 0.25% to 0.35%. In addition, the Credit Agreement provides a mechanism to determine a successor reference rate to the applicable reference rate if, among other things, the applicable reference rate becomes unavailable or is generally replaced as a benchmark interest rate.</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as well as customary affirmative and negative covenants. Negative covenants include, among others, limitations on incurrence of indebtedness, liens, disposition of property and investments by the Company and its subsidiaries. In addition, the Credit Agreement requires the Company to maintain certain interest coverage, leverage and senior leverage ratios. To date, the Company is in compliance with the affirmative and negative covenants.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Credit Agreement contains customary events of default. Upon the occurrence and during the continuance of an event of default, the Lenders may declare the outstanding advances and all other obligations under the Credit Agreement immediately due and payable.</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use amounts borrowed under the Credit Agreement for general corporate purposes or working capital financing. The Company may borrow additional amounts under the Credit Agreement from time to time as opportunities and needs arise. As of March 31, 2024, the Company has not drawn down on the credit facility.</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SVB closure by the California Department of Financial Protection and Innovation on March 10, 2023, and its subsequent receivership by the Federal Deposit Insurance Corporation (“FDIC”), the FDIC announced that all of SVB’s deposits and substantially all of its assets had been transferred to a newly created, full-service FDIC-operated bridge bank, Silicon Valley Bridge Bank, N.A. (“SVBB”). On March 27, 2023, First Citizens Bank &amp; Trust Company (“First Citizens”) acquired substantially all of the loans and certain other assets of the former SVB, and assumed all customer deposits and certain other liabilities of the former SVB. As such, First Citizen assumed SVB’s obligations under the Credit Agreement.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Finance lease cost is recognized as a combination of the amortization expense for the right-of-use assets and interest expense for the outstanding lease liabilities, and results in a front-loaded expense pattern over the lease term. Short-term and variable lease costs are not material to the Company’s condensed consolidated financial statements.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2024, operating right-of-use assets obtained in exchange for new lease obligations was $4.0 million.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cost were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a weighted average discount rate of 3.15% and 2.24% has been applied to the remaining operating and finance lease payments, respectively, to calculate the lease liabilities included within the condensed consolidated balance sheets. The weighted average remaining lease term of operating and finance leases is 3.7 and 4.0 years, respectively, as of March 31, 2024.</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2024, the maturities of lease liabilities under operating and finance leases were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23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37"/>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3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3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6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23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25,037</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238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Acquisition-related Intangible Assets, Net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Intangible Assets,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Acquisition-related intangible assets, net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1"/>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r>
      <w:tr>
        <w:trPr>
          <w:trHeight w:val="37"/>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6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r>
      <w:tr>
        <w:trPr>
          <w:trHeight w:val="26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acquisition-related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w:t>
            </w:r>
          </w:p>
        </w:tc>
      </w:tr>
      <w:tr>
        <w:trPr>
          <w:trHeight w:val="20"/>
        </w:trPr>
        <w:tc>
          <w:tcPr>
            <w:tcW w:w="6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29"/>
        </w:trPr>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
        </w:trPr>
        <w:tc>
          <w:tcPr>
            <w:tcW w:w="66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1"/>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r>
      <w:tr>
        <w:trPr>
          <w:trHeight w:val="37"/>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acquisition-related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useful life of developed technology was 3.5 years as of March 31, 2024. Amortization expense related to acquisition-related intangibles was $0.4 million and $1.3 million for the three months ended March 31, 2024 and 2023, respectively.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2024, estimated future amortization expense for acquisition-related intangible assets was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7"/>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7"/>
        </w:trPr>
        <w:tc>
          <w:tcPr>
            <w:tcW w:w="97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estimated future amortization expense for acquisition-related intangible assets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97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7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purchase obligations primarily relate to minimum contractual payments due to data center providers. During the three months ended March 31, 2024, there were no material changes to the Company’s non-cancelable purchase obligations disclosed in the Company’s Annual Report on Form 10-K for the fiscal year ended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had two irrevocable letters of credit outstanding related to non-cancelable facilities leases in the amounts of $3.5 million and $0.5 million, with annual automatic renewal and final expiration dates in July 2028 and April 2025,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or may be involved in various claims and other legal matters arising in the normal course of business. The Company records an accrual for a liability relating to claims and other legal matters when it is both probable that a liability has been incurred and the amount of the loss can be reasonably estimated. Any such accruals are reviewed at least quarterly and adjusted for the impacts of negotiations, rulings, settlements, and other information or events pertaining to a particular matter, or on the advice of legal counsel. To date, the Company has not incurred a material loss, or a material loss in excess of a recorded accrual, with respect to any claims and other legal matters arising in the normal course of business. However, the outcomes of claims and other legal matters are inherently unpredictable and subject to significant uncertainties. If the Company subsequently concludes that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Equity and Equity Incentive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February 2023, the Company’s board of directors authorized the Company to repurchase up to $75 million of its Class A common stock (“2023 Repurchase Program”). In February 2024, the Company’s board of directors authorized the Company to repurchase up to an additional $100 million of its Class A common stock (“2024 Repurchase Program”) in addition to the $75 million previously authorized under the 2023 Repurchase Program. As of March 31, 2024, $100.0 million remains available for repurchases. Shares are repurchased in a manner deemed in the best interest of the Company and its stockholders, dependent upon business, economic and market conditions, corporate and regulatory requirements, prevailing stock prices and other considerations.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2024, the Company repurchased 894,651 aggregate shares of Class A common stock for $15.7 million.</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Repurchases are executed from time to time, subject to general business and market conditions and other investment opportunities, through open market purchases or privately negotiated transactions, in accordance with Rule 10b-18 and/or Rule 10b5-1 of the Exchange Act. The 2023 Repurchase Program is scheduled to terminate on December 31, 2024, while the 2024 Repurchase Program is scheduled to terminate on December 31,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maintains the 2020 Equity Incentive Plan (“2020 Plan”), pursuant to which the Company may grant stock options, restricted stock awards, stock appreciation rights, restricted stock units (“RSUs”), deferred stock units (“DSUs”) performance awards, and stock bonus awards. As of March 31, 2024, the Company has reserved 3,025,245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the Company’s common stock outstanding as of the immediately preceding December 31, or a number as may be determined by the Company’s board of directors or compensation committee. No new awards were issued under the Company’s prior 2006 Plan or 2017 Plan (“Prior Plans”) after the effective date of the 2020 Plan. To the extent outstanding awards under the 2006 Plan and the 2017 Plan are forfeited, expire unexercised, or would otherwise have been returned to the share reserve under the Prior Plans, the shares of Class B common stock subject to such awards instead will be available for future issuance as Class A common stock under the 2020 Plan.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 activity and related information under the Company’s equity incentive plans: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40" w:type="dxa"/>
            <w:vAlign w:val="bottom"/>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5"/>
                <w:szCs w:val="15"/>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5"/>
                <w:szCs w:val="15"/>
                <w:color w:val="auto"/>
              </w:rPr>
            </w:pPr>
          </w:p>
        </w:tc>
        <w:tc>
          <w:tcPr>
            <w:tcW w:w="138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94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00" w:type="dxa"/>
            <w:vAlign w:val="bottom"/>
          </w:tcPr>
          <w:p>
            <w:pPr>
              <w:spacing w:after="0"/>
              <w:rPr>
                <w:sz w:val="17"/>
                <w:szCs w:val="17"/>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3"/>
        </w:trPr>
        <w:tc>
          <w:tcPr>
            <w:tcW w:w="49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67,418</w:t>
            </w: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canceled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March 31,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97,522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unrecognized stock-based compensation of $25.5 million related to unvested stock options will be recognized on a straight-line basis over a weighted average period of 2.92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activity and related information under the Company’s 2020 Plan: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34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58"/>
        </w:trPr>
        <w:tc>
          <w:tcPr>
            <w:tcW w:w="8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55"/>
              <w:spacing w:after="0" w:line="158"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62"/>
        </w:trPr>
        <w:tc>
          <w:tcPr>
            <w:tcW w:w="81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04"/>
        </w:trPr>
        <w:tc>
          <w:tcPr>
            <w:tcW w:w="81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13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37"/>
        </w:trPr>
        <w:tc>
          <w:tcPr>
            <w:tcW w:w="81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Canceled or 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March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unrecognized stock-based compensation of $75.2 million related to unvested RSUs will be recognized on a straight-line basis over a weighted average period of 3.00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November 2020, the Company’s board of directors adopted, and its stockholders approved, the 2020 Employee Stock Purchase Plan (“ESPP”).</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aggregate number of shares reserved for issuance under the ESPP increases automatically on January 1st of each of the first ten calendar years during the term of the ESPP by the number of shares equal to the lesser of (a) 1% of the total outstanding shares of all classes of the Company’s common stock as of the immediately preceding December 31, and (b) such number of shares of common stock as determined by the Company’s board of directors. The aggregate number of shares issued over the term of the ESPP may not exceed 7,500,000 shares of Class A common stock. As of March 31, 2024, the Company had reserved 401,599 shares of its Class A common stock for issuance under the ESPP.</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ESPP, Class A common stock will be purchased for the accounts of employees participating in the ESPP on each purchase date at a price per share equal to 85% of the lesser of: (a) the fair market value on the offering date or (b) the fair market value on the purchase date. The ESPP provides for, at maximum, 27 month offering periods and each offering period may consist of one or more six-month purchase periods, whereby the latest offering period commenced on June 1, 2022, and the offering periods thereafter consist of two six-month purchase periods ending May 31, 2023. As of March 31, 2024, $1.1 million has been withheld on behalf of employees for a future purchase under the ESPP due to the timing of payroll deductions and is included in accrued liabilities. For the three months ended March 31, 2024 and 2023, no shares of our Class A common stock were purchased under the ESPP.</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unrecognized stock-based compensation expense related to the ESPP was $0.2 million, which is expected to be recognized over a weighted-average period of 0.17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operations was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from stock-based compensation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 effect</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Net Loss Per Share</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Basic and diluted earnings per share (“EPS”) attributable to common stockholders for Class A and Class B common stock were the same because they were entitled to the same liquidation and dividend rights.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(in thousands, except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40" w:type="dxa"/>
            <w:vAlign w:val="bottom"/>
            <w:gridSpan w:val="5"/>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860" w:type="dxa"/>
            <w:vAlign w:val="bottom"/>
            <w:tcBorders>
              <w:bottom w:val="single" w:sz="8" w:color="CCEEFF"/>
            </w:tcBorders>
          </w:tcPr>
          <w:p>
            <w:pPr>
              <w:spacing w:after="0"/>
              <w:rPr>
                <w:sz w:val="3"/>
                <w:szCs w:val="3"/>
                <w:color w:val="auto"/>
              </w:rPr>
            </w:pPr>
          </w:p>
        </w:tc>
        <w:tc>
          <w:tcPr>
            <w:tcW w:w="33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424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(2,454)</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334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50,039</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52,740</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424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2395"/>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86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shares of common stock equivalents were excluded from the computation of diluted net loss per share attributable to common stockholders for the periods presented because including them would have been anti-dilutive (in thousands):</w:t>
      </w:r>
    </w:p>
    <w:p>
      <w:pPr>
        <w:spacing w:after="0" w:line="47"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41910</wp:posOffset>
            </wp:positionV>
            <wp:extent cx="19456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60" w:type="dxa"/>
            <w:vAlign w:val="bottom"/>
            <w:gridSpan w:val="2"/>
          </w:tcPr>
          <w:p>
            <w:pPr>
              <w:ind w:left="87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325"/>
        </w:trPr>
        <w:tc>
          <w:tcPr>
            <w:tcW w:w="9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3,344</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1,892</w:t>
            </w:r>
          </w:p>
        </w:tc>
      </w:tr>
      <w:tr>
        <w:trPr>
          <w:trHeight w:val="227"/>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Unvested restricted 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2,451</w:t>
            </w:r>
          </w:p>
        </w:tc>
      </w:tr>
      <w:tr>
        <w:trPr>
          <w:trHeight w:val="29"/>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ESPP</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331"/>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common stock equivalents excluded from net loss per share – diluted</w:t>
            </w:r>
          </w:p>
        </w:tc>
        <w:tc>
          <w:tcPr>
            <w:tcW w:w="9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3,351</w:t>
            </w: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4,435</w:t>
            </w:r>
          </w:p>
        </w:tc>
      </w:tr>
      <w:tr>
        <w:trPr>
          <w:trHeight w:val="21"/>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historically calculated the provision for income taxes during interim reporting periods by applying an estimate of the annual effective tax rate ("AETR") for the full fiscal year to “ordinary” income or loss (pretax income or loss excluding unusual or infrequently occurring discrete items) for the reporting period. The discrete effective tax rate method has been used to calculate taxes for the fiscal three months ended March 31, 2024. The Company has determined that since small changes in estimated “ordinary” income would result in significant changes in the estimated AETR, the historical method would not provide a reliable estimate for the fiscal three months ended March 31, 2024.</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a benefit from income taxes of $0.2 million and $3.4 million for the three months ended March 31, 2024 and 2023, respectively.</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 income tax rate was 9% and 37% for the three months ended March 31, 2024 and 2023, respectively. The benefit from income taxes for the three months ended March 31, 2024 is related to tax benefits from foreign-derived intangible income (FDII), research tax credits, and deductions for equity awards, offset by nondeductible stock-based compensation and Section 162(m) limitation on the tax deductibility of officers’ compensation.</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total revenue by geographic area based on the publisher’s billing address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40,507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17,844</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66,701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long-lived assets, net, which consist primarily of property and equipment and operating lease right-of-use assets, by geographic area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4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3400" w:type="dxa"/>
            <w:vAlign w:val="bottom"/>
            <w:tcBorders>
              <w:bottom w:val="single" w:sz="8" w:color="CCEEFF"/>
            </w:tcBorders>
          </w:tcPr>
          <w:p>
            <w:pPr>
              <w:spacing w:after="0"/>
              <w:rPr>
                <w:sz w:val="3"/>
                <w:szCs w:val="3"/>
                <w:color w:val="auto"/>
              </w:rPr>
            </w:pPr>
          </w:p>
        </w:tc>
        <w:tc>
          <w:tcPr>
            <w:tcW w:w="47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68,299</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4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40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401(k) Plan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$0.5 million and $0.4 million in matching contributions to the 401(k) Plan for the three months ended March 31, 2024 and 2023, respectively.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of 1933, as amended, and Section 21E of the Securities Exchange Act of 1934, as amended. These forward-looking statements generally are identified by the words “believe,” “may,” “will,” “potentially,” “estimate,” “continue,” “anticipate,” “intend,” “could,” “would,” “project,” “plan,” “expect,” and similar expressions. Examples of forward-looking statements include, but are not limited to, statements we make regarding our ability to maintain our growth and profitability, our ability to attract and retain publishers, and our expectations concerning the advertising industry.</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a number of risks, uncertainties and assumptions, including those described in “Risk Factors” and elsewhere in this Quarterly Report on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74"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i w:val="1"/>
          <w:iCs w:val="1"/>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on Form 10-Q to conform these statements to actual results or to changes in our expectations, except as required by law.</w:t>
      </w:r>
    </w:p>
    <w:p>
      <w:pPr>
        <w:spacing w:after="0" w:line="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unaudited condensed consolidated financial statements and the related notes thereto included elsewhere in this Quarterly Report on Form 10-Q, and the audited consolidated financial statements and notes thereto and management’s discussion and analysis of financial condition and results of operations for the fiscal year ended December 31, 2023 included in our Annual Report on Form 10-K filed with the U.S. Securities and Exchange Commission (the “SEC”).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an independent technology company seeking to maximize customer value by delivering digital advertising’s supply chain of the future.</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technology platform empowers the world’s leading digital content creators (which we refer to as “publishers”) across the open internet to maximize monetization of their advertising inventory. Our platform also provides control and transparency to buyers, which includes advertisers, agencies, agency trading desks, and demand side platforms (“DSPs”), (which we collectively refer to as “buyers”) and enables both publishers and buyers to drive better business outcomes. Our infrastructure-driven approach allows for the efficient processing and utilization of data in real time. By delivering scalable and flexible programmatic innovation, we believe we improve outcomes for our customers while championing a vibrant and transparent digital advertising supply chain.</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continue to focus on the strengths that we believe provide us with long-term competitive advantages. These strengths include our global, omnichannel reach which targets a diverse set of publishers touching many ad formats and digital device types, including mobile app, mobile web, desktop, display, video, over-the-top video/connected TV (“OTT/CTV”), and rich media. Additionally, as an independent infrastructure provider prioritizing transparency, we can be more closely aligned with both publishers and buyers which has enabled us to build direct relationships with publishers, advertisers, agencies, and DSPs and create bespoke products that meet our customers’ needs. We have also maintained a demonstrated track record of stability and agility to address these market conditions and provide superior outcomes for both publishers and buyers. Finally, we have designed our technology to efficiently process real-time advertising transactions while leveraging data to optimize outcomes for publishers and buyers. We own and operate our software and hardware infrastructure globally, which saves significant infrastructure expenditures as compared to public cloud alternatives.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 and Macroeconomic Factors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digital advertising ecosystem continues to evolve and adapt at a rapid pace. Some noted trends include the continued growth of digital media across multiple platforms, a continued increase in the number of ad impressions processed and analyzed in real-time by each participant in the digital advertising ecosystem, and a desire for transparency and control throughout the supply chain from both the buyers and publishers. Additionally, rapidly evolving data and privacy regulations and industry standards continue to impact our business. For example, in April 2024, Google announced it will delay its phase out of third-party cookies in Chrome until at least 2025, which may impact the industry’s anticipated shift to alternative identity solutions.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recent interest rate increases, foreign currency fluctuation and persistent inflation in the U.S. and other markets globally continue to create economic volatility and dislocation in the capital and credit markets in the U.S. and globally. To date, we have not observed material impacts in our business or outlook, but we intend to continue to monitor macroeconomic conditions closely and may determine to take certain financial or operational actions in response to such conditions to the extent our business begins to be adversely impacted.</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we are positioned to benefit from tailwinds in the advertising industry, including the rapid proliferation of digital media, the need for purpose-built infrastructure to address the increasing complexity in the digital advertising landscape, and increasing consumer time spent online.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“Risk Factors” in this report and in our Annual Report on Form 10-K for the year ended December 31, 2023 for further discussion of the risks related to inflation, rising interest rates, foreign currency fluctuations and public health crises on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financial highlights of our business performance: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7"/>
        </w:trPr>
        <w:tc>
          <w:tcPr>
            <w:tcW w:w="8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r>
      <w:tr>
        <w:trPr>
          <w:trHeight w:val="37"/>
        </w:trPr>
        <w:tc>
          <w:tcPr>
            <w:tcW w:w="8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66,701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(5,525)</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r>
      <w:tr>
        <w:trPr>
          <w:trHeight w:val="270"/>
        </w:trPr>
        <w:tc>
          <w:tcPr>
            <w:tcW w:w="81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8"/>
                <w:szCs w:val="28"/>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15,056</w:t>
            </w:r>
          </w:p>
        </w:tc>
        <w:tc>
          <w:tcPr>
            <w:tcW w:w="10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24,294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w:t>
            </w:r>
          </w:p>
        </w:tc>
      </w:tr>
      <w:tr>
        <w:trPr>
          <w:trHeight w:val="27"/>
        </w:trPr>
        <w:tc>
          <w:tcPr>
            <w:tcW w:w="8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18" w:lineRule="exact"/>
        <w:rPr>
          <w:sz w:val="20"/>
          <w:szCs w:val="20"/>
          <w:color w:val="auto"/>
        </w:rPr>
      </w:pPr>
    </w:p>
    <w:p>
      <w:pPr>
        <w:ind w:left="660" w:hanging="328"/>
        <w:spacing w:after="0" w:line="298" w:lineRule="auto"/>
        <w:tabs>
          <w:tab w:leader="none" w:pos="6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definition of Adjusted EBITDA, an explanation of our management’s use of this measure, and a reconciliation of Adjusted EBITDA to net income, see “Non-GAAP Financial Measure.”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 and Performance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our growth and financial performance are dependent on many factors, including those described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 New Customers and Expand our Relationship with Existing Customers Globally</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up-sell additional products to publisher customers including our header bidding management, identity, and audience solutions. We automate workflow processes whenever feasible to drive predictable and value-added outcomes for our customers and increase productivity of our organization.</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dollar-based retention rate is an important indicator of publisher satisfaction and usage of our platform, as well as potential revenue for future periods. We calculate our net dollar-based retention rate at the end of each quarter for a cumulative twelve months. We calculate our net dollar-based retention rate by starting with the revenue from publishers in the prior trailing twelve-month period (“Prior Period Revenue”). We then calculate the revenue from these same publishers in the current trailing twelve-month period (“Current Period Revenue”). Current Period Revenue includes any upsells and is net of contraction or attrition, but excludes revenue from new publishers.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net dollar-based retention rate equals the Current Period Revenue divided by Prior Period Revenue. Our net dollar-based retention rate was 106% for the trailing twelve months ended March 31, 2024 and 105% for the trailing twelve months ended March 31, 2023. Our revenue growth in the period ended March 31, 2024 and 2023 was primarily attributable to an increase in the number of ad impressions processed from our publishers, upselling additional products, penetration of header bidding for mobile app and digital video, and increased demand from the growth of our buyer relationships primarily through SPO agreements. Our net dollar-based retention rate and revenues for the period ended March 31, 2024 improved by one percentage point versus the prior trailing twelve month period.</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Further, we work with DSPs to help them reduce their costs and improve advertiser ROI, which in turn makes us the specialized cloud infrastructure platform of choice for many of our buying partners. We depend upon a limited number of large DSPs for a large percentage of impressions purchased and our business results, including revenues, may be impacted by changes in their pricing strategies, bidding algorithms or go-to market efforts. As buyers increasingly consolidate their spending with fewer larger technology platforms, we seek to bring an increased proportion of their digital ad spending to our platform through direct deals. </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upply Path Optimization (“SPO”) continues to be a major growth driver for us as we add new SPO relationships and expand existing ones. We have been investing in SPO technology and partnerships for five years and SPO represented approximately 50% of total activity for the three months ended March 31,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Monetization Excellence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focus on monetizing digital impressions by coordinating over a hundred billion real-time auctions and nearly a trillion bids globally on a daily basis, using our specialized cloud software, machine learning algorithms, and scaled transaction infrastructure. Valuable ad impressions are transparent and data rich, viewable by humans, and verifiable. Each ad impression we auction consists of 592 independent data parameters, which can yield valuable insights if recorded and analyzed properly. This processing of voluminous data for each ad impression must occur in less than half a second as consumers expect a seamless digital ad experience.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 Platform Efficiency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track record of expanding the capacity of our infrastructure platform, while maintaining or reducing the corresponding costs related to processing impressions transacted on our platform on a per impression basis. We expect to continue to invest in both software and hardware infrastructure to continue growing the number of valuable ad impressions we process on our platform.</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recent growth has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In March 2024, our platform processed approximately 648 billion ad impressions daily, each in a fraction of a second.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from publishers who use our platform. We generate revenue primarily through fees charged to our publishers, which are generally a percentage of the value of the advertising impressions that publishers monetize on the platform. We also generate revenues from our other products such as OpenWrap, our header bidding solution, and Connect, our solution that provides additional data and insights to buyers, which are sold separate from or in conjunction with use of our platform. In 2023, we launched Activate, which allows buyers to execute direct deals on our platform with publisher inventory, and Convert, our commerce media solution.</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report revenue on a net basis. This represents gross billings to buyers, net of amounts we pay publishers.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revenue consists of data center co-location costs, depreciation expense related to hardware supporting our platform, amortization expense related to capitalized internal-use software development costs, personnel costs, and allocated facilities costs. Personnel costs include salaries, bonuses, stock-based compensation, and employee benefit costs, and are primarily attributable to our cloud operations group, which maintains our servers, and our client operations group, which is responsible for the integration of new publishers and buyers and providing customer support for existing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Technology and Development. </w:t>
      </w:r>
      <w:r>
        <w:rPr>
          <w:rFonts w:ascii="Times New Roman" w:cs="Times New Roman" w:eastAsia="Times New Roman" w:hAnsi="Times New Roman"/>
          <w:sz w:val="18"/>
          <w:szCs w:val="18"/>
          <w:color w:val="auto"/>
        </w:rPr>
        <w:t>Technology and development expenses consist of personnel costs, including salaries,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employee benefits costs, allocated facilities costs, and professional services. These expenses include costs incurred in the development, implementation and maintenance of internal-use software, including platform and related infrastructure. We expend technology and development costs as incurred, except to the extent that such costs are associated with internal-use software development that qualifies for capitalization. We expect technology and development expenses to generally increase in absolute dollars in future periods.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of personnel costs, including salaries, bonuses, stock-based compensation, and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costs, for our employees engaged in 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consist of personnel costs, including salaries, bonuses,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employee benefits costs for our executive, finance, legal, human resources, information technology, and other administrative employees. General and administrative expenses also include outside consulting, legal and accounting services, allocated facilities costs, and travel and entertainment primarily related to inter-office travel and conferences.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 Net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other income (expense), net consists of interest income and other income (expense), net. Interest income is generated by investing excess cash into money market accounts and marketable securities. Other income (expense), net consists primarily of gains and losses from foreign currency exchange transactions.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investment gains and losses, whether realized from dispositions or unrealized from changes in market prices of equity securities, are generally meaningless in understanding our reported results or evaluating the economic performance of our businesses. These gains and losses have caused and will continue to cause significant volatility in our periodic earnings.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Income Taxes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benefit from income taxes consists primarily of federal, state, and foreign income taxes. Our income tax benefit may be significantly affected by changes to our estimates for tax in jurisdictions in which we operate and 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effective tax rate differs from the U.S. federal statutory income tax rate due to state taxes, foreign tax rate differences, research tax credits, and stock-based compensation.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condensed consolidated results of operations data and such data as a percentage of revenue for the periods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period-to-period comparison of results is not necessarily indicative of results for future periods.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66,701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55,407</w:t>
            </w:r>
          </w:p>
        </w:tc>
        <w:tc>
          <w:tcPr>
            <w:tcW w:w="0" w:type="dxa"/>
            <w:vAlign w:val="bottom"/>
          </w:tcPr>
          <w:p>
            <w:pPr>
              <w:spacing w:after="0"/>
              <w:rPr>
                <w:sz w:val="1"/>
                <w:szCs w:val="1"/>
                <w:color w:val="auto"/>
              </w:rPr>
            </w:pPr>
          </w:p>
        </w:tc>
      </w:tr>
      <w:tr>
        <w:trPr>
          <w:trHeight w:val="270"/>
        </w:trPr>
        <w:tc>
          <w:tcPr>
            <w:tcW w:w="818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8"/>
                <w:szCs w:val="28"/>
                <w:color w:val="auto"/>
                <w:vertAlign w:val="superscript"/>
              </w:rPr>
              <w:t>(1)</w:t>
            </w:r>
          </w:p>
        </w:tc>
        <w:tc>
          <w:tcPr>
            <w:tcW w:w="9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25,424</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23,863</w:t>
            </w: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41,277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31,544</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line="263"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24,815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14,027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12,572</w:t>
            </w:r>
          </w:p>
        </w:tc>
        <w:tc>
          <w:tcPr>
            <w:tcW w:w="0" w:type="dxa"/>
            <w:vAlign w:val="bottom"/>
          </w:tcPr>
          <w:p>
            <w:pPr>
              <w:spacing w:after="0"/>
              <w:rPr>
                <w:sz w:val="1"/>
                <w:szCs w:val="1"/>
                <w:color w:val="auto"/>
              </w:rPr>
            </w:pPr>
          </w:p>
        </w:tc>
      </w:tr>
      <w:tr>
        <w:trPr>
          <w:trHeight w:val="237"/>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46,802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8180" w:type="dxa"/>
            <w:vAlign w:val="bottom"/>
            <w:vMerge w:val="continue"/>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  Amounts include stock-based compensation expense before tax benefit as follows: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8180" w:type="dxa"/>
            <w:vAlign w:val="bottom"/>
          </w:tcPr>
          <w:p>
            <w:pPr>
              <w:spacing w:after="0"/>
              <w:rPr>
                <w:sz w:val="24"/>
                <w:szCs w:val="24"/>
                <w:color w:val="auto"/>
              </w:rPr>
            </w:pPr>
          </w:p>
        </w:tc>
        <w:tc>
          <w:tcPr>
            <w:tcW w:w="30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(as percentage of revenue)</w:t>
            </w: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7"/>
        </w:trPr>
        <w:tc>
          <w:tcPr>
            <w:tcW w:w="4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Borders>
              <w:top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Borders>
              <w:top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Cost of Revenue and Gross Profit</w:t>
            </w: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7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3"/>
                <w:szCs w:val="3"/>
                <w:color w:val="auto"/>
              </w:rPr>
            </w:pP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66,701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55,407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spacing w:after="0"/>
              <w:rPr>
                <w:sz w:val="21"/>
                <w:szCs w:val="21"/>
                <w:color w:val="auto"/>
              </w:rPr>
            </w:pPr>
          </w:p>
        </w:tc>
        <w:tc>
          <w:tcPr>
            <w:tcW w:w="12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25,424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23,863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41,277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31,544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Revenue for the three months ended March 31, 2024 increased by $11.3 million, or 20%, compared to the three months ended March 31, 2023. Our revenues were primarily driven by increased impressions processed on our platform, emerging revenue streams, and growth in customer relationships. Our business continues to be impacted by the macro environment.</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we served approximately 1,800 publishers and app developers worldwide on our platform, compared to approximately 1,700 publishers and app developers worldwide as of March 31, 2023. For purposes of our publisher count, we aggregate multiple business accounts from separate divisions, segments or subsidiaries into a single “master” publisher based on our assessment of the related nature of the group.</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revenues may be affected by macroeconomic conditions for the remainder of 2024, as well as bidding methodology changes implemented by one of our buyers which may result in lower bid prices following such change, and the magnitude of these impacts on our future revenues is difficult to predict.</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revenue increased $1.6 million for the three months ended March 31, 2024 compared to the three months ended March 31, 2023, primarily due to a $0.6 million increase in depreciation of data center equipment and amortization of internal-use software, a $0.2 million increase in support and maintenance costs, and a $0.7 million increase in personnel costs as headcount increased. Overall, our cost of revenue per impression processed for the three months ended March 31, 2024 decreased by approximately 14% compared to the three months ended March 31, 2023.</w:t>
      </w:r>
    </w:p>
    <w:p>
      <w:pPr>
        <w:spacing w:after="0" w:line="72" w:lineRule="exact"/>
        <w:rPr>
          <w:sz w:val="20"/>
          <w:szCs w:val="20"/>
          <w:color w:val="auto"/>
        </w:rPr>
      </w:pPr>
    </w:p>
    <w:p>
      <w:pPr>
        <w:jc w:val="both"/>
        <w:ind w:firstLine="311"/>
        <w:spacing w:after="0" w:line="282" w:lineRule="auto"/>
        <w:rPr>
          <w:sz w:val="20"/>
          <w:szCs w:val="20"/>
          <w:color w:val="auto"/>
        </w:rPr>
      </w:pPr>
      <w:r>
        <w:rPr>
          <w:rFonts w:ascii="Times New Roman" w:cs="Times New Roman" w:eastAsia="Times New Roman" w:hAnsi="Times New Roman"/>
          <w:sz w:val="18"/>
          <w:szCs w:val="18"/>
          <w:color w:val="auto"/>
        </w:rPr>
        <w:t>Our gross margin of 62% for the three months ended March 31, 2024 increased compared to 57% for the three months ended March 31, 2023 primarily due to acceleration of revenue growth.</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the cost of revenue to be higher in 2024 compared to 2023 in absolute dollars as we continue to expand our capacity to process impressions.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Development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26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9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93"/>
              </w:rPr>
              <w:t>7,960</w:t>
            </w:r>
          </w:p>
        </w:tc>
        <w:tc>
          <w:tcPr>
            <w:tcW w:w="100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6,517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9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technology and development costs for the three months ended March 31, 2024 was primarily due to an increase of $1.6 million in personnel costs as headcount increased, partially offset by an increase of $0.5 million related to the capitalization of internal-use software.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technology and development expenses to continue to increase in 2024 compared to 2023 in absolute dollars, primarily due to additional headcount and investment in technological innovation.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92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24,815</w:t>
            </w:r>
          </w:p>
        </w:tc>
        <w:tc>
          <w:tcPr>
            <w:tcW w:w="68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23,127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36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37 %</w:t>
            </w: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costs for the three months ended March 31, 2024 increased primarily due to a $2.2 million increase in personnel costs and a $0.2 million increase in facilities costs, offset by a decrease in amortization of intangible assets of $0.9 million.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sales and marketing expenses to increase in 2024 compared to 2023 in absolute dollars primarily due to additional headcount investment and marketing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14,027</w:t>
            </w:r>
          </w:p>
        </w:tc>
        <w:tc>
          <w:tcPr>
            <w:tcW w:w="6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12,572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6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 increased for the three months ended March 31, 2024 primarily due to a $1.5 million increase in personnel costs.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general and administrative expenses to increase in 2024 compared to 2023 in absolute dollars primarily due to additional headcount.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2,564</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7"/>
        </w:trPr>
        <w:tc>
          <w:tcPr>
            <w:tcW w:w="4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increased for the three months ended March 31, 2024 compared to the prior year period due to the increase in interest rates.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540" w:type="dxa"/>
            <w:vAlign w:val="bottom"/>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2540" w:type="dxa"/>
            <w:vAlign w:val="bottom"/>
            <w:tcBorders>
              <w:bottom w:val="single" w:sz="8" w:color="auto"/>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2540" w:type="dxa"/>
            <w:vAlign w:val="bottom"/>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106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7"/>
        </w:trPr>
        <w:tc>
          <w:tcPr>
            <w:tcW w:w="49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net increased for the three months ended March 31, 2024 compared to the prior year period mainly due to currency fluctuations.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Income Taxes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1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2460" w:type="dxa"/>
            <w:vAlign w:val="bottom"/>
            <w:tcBorders>
              <w:bottom w:val="single" w:sz="8" w:color="auto"/>
            </w:tcBorders>
            <w:gridSpan w:val="3"/>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246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6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94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(3,375)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
        </w:trPr>
        <w:tc>
          <w:tcPr>
            <w:tcW w:w="49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difference between the effective tax rate for the three months ended March 31, 2024 of 9% and the federal statutory income tax rate of 21% was related to tax benefits from foreign-derived intangible income, research tax credits, and deductions for equity awards, partially offset by nondeductible stock-based compensation and Section 162(m) limitation on the tax deductibility of officers compensation. The effective income tax rate was 37% for the three months ended March 31, 2023 was related to the effects of stock-based compensation, foreign and state taxes, partially offset by foreign tax credits, and federal and state research credits.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generally accepted accounting principles (“GAAP”), including, in particular, operating loss, net cash provided by operating activities, and net loss, we believe that Adjusted EBITDA, a non-GAAP measure, is useful in evaluating our operating performance. We define Adjusted EBITDA as net loss adjusted for stock-based compensation expense, depreciation and amortization, interest income, acquisition-related and other expenses, and provision for (benefit from) income taxes.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EBITDA to net loss for each of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(deduct):</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11,212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r>
      <w:tr>
        <w:trPr>
          <w:trHeight w:val="270"/>
        </w:trPr>
        <w:tc>
          <w:tcPr>
            <w:tcW w:w="8180" w:type="dxa"/>
            <w:vAlign w:val="bottom"/>
          </w:tcPr>
          <w:p>
            <w:pPr>
              <w:ind w:left="240"/>
              <w:spacing w:after="0" w:line="270" w:lineRule="exact"/>
              <w:rPr>
                <w:sz w:val="20"/>
                <w:szCs w:val="20"/>
                <w:color w:val="auto"/>
              </w:rPr>
            </w:pPr>
            <w:r>
              <w:rPr>
                <w:rFonts w:ascii="Times New Roman" w:cs="Times New Roman" w:eastAsia="Times New Roman" w:hAnsi="Times New Roman"/>
                <w:sz w:val="18"/>
                <w:szCs w:val="18"/>
                <w:color w:val="auto"/>
              </w:rPr>
              <w:t xml:space="preserve">Acquisition-related and other expenses </w:t>
            </w:r>
            <w:r>
              <w:rPr>
                <w:rFonts w:ascii="Times New Roman" w:cs="Times New Roman" w:eastAsia="Times New Roman" w:hAnsi="Times New Roman"/>
                <w:sz w:val="25"/>
                <w:szCs w:val="25"/>
                <w:color w:val="auto"/>
                <w:vertAlign w:val="superscript"/>
              </w:rPr>
              <w:t>(1)</w:t>
            </w:r>
          </w:p>
        </w:tc>
        <w:tc>
          <w:tcPr>
            <w:tcW w:w="900" w:type="dxa"/>
            <w:vAlign w:val="bottom"/>
          </w:tcPr>
          <w:p>
            <w:pPr>
              <w:spacing w:after="0"/>
              <w:rPr>
                <w:sz w:val="23"/>
                <w:szCs w:val="2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15,056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7,354</w:t>
            </w: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_______________</w:t>
      </w:r>
    </w:p>
    <w:p>
      <w:pPr>
        <w:spacing w:after="0" w:line="77" w:lineRule="exact"/>
        <w:rPr>
          <w:sz w:val="20"/>
          <w:szCs w:val="20"/>
          <w:color w:val="auto"/>
        </w:rPr>
      </w:pPr>
    </w:p>
    <w:p>
      <w:pPr>
        <w:jc w:val="both"/>
        <w:ind w:left="660" w:hanging="328"/>
        <w:spacing w:after="0" w:line="263" w:lineRule="auto"/>
        <w:tabs>
          <w:tab w:leader="none" w:pos="6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exclude acquisition-related and other expenses incurred in connection with our acquisition of Martin from Adjusted EBITDA because we do not believe such expenses are reflective of our ongoing core operations. Acquisition-related expenses incurred in connection with our acquisition of Martin include third-party transaction costs. Beginning in the third quarter fiscal 2023, we no longer exclude the impact of post-acquisition cash compensation arrangements for certain key acquired employees from our Adjusted EBITDA calculation. We have updated prior period results for comparability.</w:t>
      </w:r>
    </w:p>
    <w:p>
      <w:pPr>
        <w:spacing w:after="0" w:line="6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Although Adjusted EBITDA is used by many investors and securities analysts in their evaluations of companies, it has limitations as an analytical tool, and should not be considered in isolation or as a substitute for analysis of our results of operations as reported under GAAP. Other companies in our industry may calculate Adjusted EBITDA differently than we do, limiting its usefulness as a comparative measure.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financed our operations and capital expenditures primarily through utilization of cash generated from operations as well as sales of equity securities. As of March 31, 2024, we had cash, cash equivalents, and marketable securities of $174.1 million and net working capital, consisting of current assets less current liabilities, of $173.1 million.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uses of cash are funding our operations and other working capital requirements.</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our existing cash, cash equivalents, marketable securities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 Our future capital requirements and the adequacy of available funds will depend on many factors, including those set forth under “Risk Factors.” As of March 31, 2024, our material cash requirements included the contractual commitments set forth under “Contractual Obligations and Future Cash Requirements.”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February 2023, our board of directors authorized the 2023 Repurchase Program. Subsequently in February 2024, our board of directors authorized the 2024 Repurchase Program. During the three months ended March 31, 2024, we repurchased 894,651 shares of Class A common stock under the 2023 Repurchase Program and 2024 Repurchase Program, collectively, for an aggregate purchase price of $15.7 million. As of March 31, 2024, $100.0 million remained available for future share repurchases under the 2024 Repurchase Program. The U.S. Inflation Reduction Act of 2022 was enacted on August 16, 2022 and requires a one percent excise tax on certain share repurchases in excess of shares issued for employee compensation made after December 31, 2022. For purposes of calculating the excise tax, repurchasing corporations are permitted to net the fair market value of certain stock issuances against the fair market value of stock repurchases during the same taxable year, with certain exceptions. We do not expect this provision to have a material effect on our condensed consolidated financial statements.</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We cannot guarantee that we will be able to raise additional capital in the future on favorable terms, or at all. Any inability to raise capital could adversely affect our ability to achieve our business objectives.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global advertising industry experiences seasonal trends that affect the vast majority of participants in the digital advertising ecosystem. Most notably, advertisers have historically spent relatively more in the fourth quarter of the calendar year to coincide with the holiday shopping season, and relatively less in the first quarter. We expect seasonality trends to continue, thereby resulting in seasonality in our revenues and corresponding accounts receivable and accounts payable balances, and our ability to manage our resources in anticipation of these trends will affect our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(18,261)</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(13,122)</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 cash receipts from buyers and payments to publishers can significantly impact our cash flows from operating activities. In addition, we expect seasonality to impact quarterly cash flows from operating activities.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net cash provided by operating activities of $24.3 million resulted primarily from adjustments for non-cash expenses of $16.1 million, including $11.2 million for depreciation and amortization and $9.1 million for stock-based compensation, a decrease in accounts receivable of $72.2 million, offset by a net loss of $2.5 million, a decrease in accounts payable of $58.4 million, and a decrease in accrued liabilities of $1.8 million.</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2023, net cash provided by operating activities of $12.8 million resulted primarily from adjustments for non-cash expenses of $14.6 million, including $11.4 million for depreciation and amortization and $7.1 million for stock-based compensation, lease expense of $1.5 million, a decrease in accounts receivable of $61.3 million, offset by a net loss of $5.9 million, a decrease in other non-current liabilities of $0.7 million and a decrease in accounts payable of $55.4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investing activities primarily included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we used $3.9 million in investing activities, consisting of $0.8 million in purchases of property and equipment (primarily data center infrastructure), and $7.2 million of investments in capitalized internal-use software, and a net decrease in investments of marketable securities of $4.2 million.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we used $18.3 million of cash in investing activities, consisting of $1.4 million in purchases of property and equipment (primarily data center infrastructure), $6.0 million of investments in capitalized internal-use software, and a net increase in investments of marketable securities of $10.8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net cash used in financing activities of $18.7 million was primarily due to purchases of treasury stock of $17.5 million, including the prepayment of funds for future purchases of approximately $1.8 million, and payment of a business combination indemnification holdback of $2.1 million, offset by proceeds from employee stock option exercises of $0.9 million.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2023, net cash used in financing activities of $7.6 million was primarily due to purchases of treasury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Future Cash Requirements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principal contractual obligations consist of non-cancelable leases for our various facilities. In certain cases, the terms of the lease agreements provide for rental payments that increase over time.</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contractual obligations disclosed in our Annual Report on Form 10-K for the fiscal year ended December 31, 2023.</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we had $5.0 million of long-term income tax liabilities, including interest, related to uncertain tax positions. Because of the high degree of uncertainty regarding the settlement of these liabilities, we are unable to estimate the years in which future cash outflows may occur.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GAAP. The preparation of the condensed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Besides the update to our allowance for credit losses as included within "Note 2 – Basis of Presentation and Summary of Significant Accounting Policies" to the condensed consolidated financial statements in this report, there have been no significant changes in our critical accounting policies and estimates from those disclosed in our audited consolidated financial statements and notes thereto in our Annual Report on Form 10-K for the year ended December 31,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These risks primarily include:</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had cash and cash equivalents of $80.2 million and marketable securities of $93.9 million as of March 31, 2024, which consisted of bank deposits, money market accounts, time deposits, commercial paper, U.S. Treasury and government debt securities. The primary objective of our investment activities is to preserve principal while maximizing income without significantly increasing risk. Because our cash, cash equivalents, and marketable securities have a relatively short maturity, our portfolio’s fair value is relatively insensitive to interest rate changes. Our line of credit is at variable interest rates. We had no amounts outstanding under our credit facility as of March 31, 2024.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Risk</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condensed consolidated results of operations and cash flows are subject to fluctuations due to changes in foreign currency exchange rates. Historically, the majority of our revenue contracts have been denominated in U.S. Dollars. Our expenses are generally denominated in the currencies in which our operations are located, primarily the U.S. Dollar, Indian Rupee and British Pound. To date, we have not entered into any hedging arrangements with respect to foreign currency risk or other derivative instruments. In the event our foreign sales and expenses increase, our operating results may be more greatly affected by foreign currency exchange rate fluctuations, which can affect our operating income. A hypothetical 10% change in the U.S. Dollar to India Rupee exchange rate could result in a change of $0.5 million in our operating loss for the three months ended March 31, 2024. A hypothetical 10% change in the U.S. Dollar to British Pound exchange rate could result in a change of $0.5 million in our operating loss for the three months ended March 31, 2024.</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If our costs were to become subject to significant inflationary pressures, for example in India, we might not be able to fully offset such higher costs through price increases. Our inability or failure to do so could adversely affect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March 31, 2024. Based on such evaluation, our principal executive officer and principal financial officer have concluded that, as of such date, our disclosure controls and procedures were effective at a reasonable assurance level.</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13a-15(d) and 15d-15(d) under the Exchange Act) that occurred during the quarter ended March 31, 2024 that has materially affected, or is reasonably likely to materially affect, our internal control over financial reporting.</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 and Procedures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8, “Commitments and Contingencies,” to our condensed consolidated financial statements included elsewhere in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The Company’s business, operations, financial results, and our stock price can be affected by a number of factors, whether currently known or unknown, including those described in Part I, Item 1A, "Risk Factors" in our Annual Report on Form 10-K for the year ended December 31, 2023. When any one or more of these risks materialize from time to time, such developments could adversely affect our business, financial condition, results of operations, cash flows, and the trading price of our stock. Below are material changes to our risk factors since our Annual Report on Form 10-K for the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Results of Operations and Growth</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depend upon our buyer and publisher relationships, including channel partners, which aggregate large numbers of smaller publishers, to provide advertising space which we can offer to prospective buyers to continue to grow the usage of our platform. In doing so, we compete for both supply and demand with larger, well-established companies that may have technological or other advantages stemming from their broader experience in the market. We must continue to adapt and improve our technology to compete effectively, and customers have not always embraced our offerings due to various factors, including switching costs from moving away from pre-existing technology integrations, such as already implemented header bidding wrappers, and lack of awareness of our omnichannel offerings. Although we believe we provide superior transparency and accountability to such competitors, certain customers may make technological or financial demands that we are unable or unwilling to meet. These and other factors may make it difficult for us to increase our business with our publishers and buyers, cause some buyers to reduce their spending with us, or increase our costs of doing business, which could adversely affect our business, results of operations, and financial condition.</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relatively small number of premium publishers have historically accounted for a significant portion of the ad impressions sold on our platform, as well as a significant portion of our revenue from publishers, including a relatively small number of channel partners.</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generally do not have minimum commitments from publishers. As a result, the amount, quality, and cost of ad impressions available to us can change at any time with little or no prior notice, and we cannot assure you that we will have access to a consistent volume or quality of ad impressions at a reasonable cost, or at all. We depend upon a relatively small number of premium publishers and channel partners and expect to continue to do so for the foreseeable future. To support our continued growth, we seek to add additional publishers and buyers to our platform and to expand current utilization with our existing publishers and buyers. Any disruptions in our relationships with premium publishers, buyers, or our largest channel partners could adversely affect our business, results of operations, and financial condition. If we cannot retain or add individual publishers with valuable ad impressions, or if such publishers decide not to make their valuable ad impressions available to us, then our buyers may be less inclined to use our platform, which could adversely affect our business, results of operations, and financial condition.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limited number of large demand side platforms (“DSPs”) – The Trade Desk and Google DV360 in particular – account for a significant portion of the ad impressions purchased on our platform. We depend upon these DSPs for a large percentage of impressions purchased and expect to do so for the foreseeable future. We have no minimum commitments from buyers to spend on our platform, so the amount of demand available to us and our ability to generate revenue from that demand can change at any time with little or no prior notice, and we cannot assure you that we will have access to a consistent volume or quality of ad campaigns or demand for our ad impressions at a reasonable or consistent price, or at all. A change in the pricing strategies, bidding algorithms or go-to-market efforts by one of these large DSPs could disproportionately impact our business results, including revenues. Any disruptions in our relationships with DSPs, agencies, advertisers, or buyers could adversely affect our business, results of operations, and financial condition. If a buyer or group of buyers representing a significant portion of the demand in our marketplace decides to materially reduce use of our platform or the manner in which they use our platform, it could cause an immediate and significant decline in our revenue and profitability and adversely affect our business, results of operations, and financial condition.</w:t>
      </w:r>
    </w:p>
    <w:p>
      <w:pPr>
        <w:spacing w:after="0" w:line="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Historically, our buyers have predominantly used our platform to purchase mobile, display, and video advertising inventory from our publishers. We expect that these will continue to be significant channels used by our customers for digital advertising in the future. We also believe that our revenue growth may depend on our ability to expand within mobile, video, and in particular, CTV, and we are continuing to enhance such channels. We may not be able to accurately predict changes in overall advertiser demand for the channels in which we operate and cannot assure you that our investment in formats will correspond to any such changes or shifts in demand. Any decrease in the use of mobile, display, and video advertising, whether due to customers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significantly and may not meet our expectations or those of securities analysts and investors.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operate in an evolving industry with ever-changing customer needs and behavior, and, as a result, our business has evolved over time such that our operating history makes it difficult to evaluate our business and future prospects. Our results of operations have fluctuated in the past, and future results of operations are likely to fluctuate as well. Although we have experienced prolonged revenue growth, we may not be able to sustain this growth rate, current revenue levels, or profitability. In addition, because our business is evolving, our historical results of operations may be of limited utility in assessing our future prospects. We expect to face challenges, risks, and difficulties frequently experienced by growing companies in rapidly developing industries, including those relating to:</w:t>
      </w:r>
    </w:p>
    <w:p>
      <w:pPr>
        <w:spacing w:after="0" w:line="7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and pricing for ad impressions sold on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access to valuable ad impressions from publishers;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evolving industry standards and government regulations that impact our business, particularly in the areas of data protection and consumer privacy;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maintaining, and expanding relationships with publishers, DSPs, agencies, advertisers, and buyers;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innovating and developing new solutions that are adopted by and meet the needs of publishers, DSPs, agencies, advertisers, and buyers;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against companies with a larger customer base or greater financial or technical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buying and selling of ad impressions;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policies of publishers and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bidding behavior of buyers of ad impressions;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due to changes in macroeconomic environment, including as a result of an economic downturn, recession, inflation, changes in interest rates or foreign exchange rates, disruptions to supply chains, or otherwise;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expanding our business internationally;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integrating, and retaining qualified and motivated employees, particularly engineers.</w:t>
      </w:r>
    </w:p>
    <w:p>
      <w:pPr>
        <w:spacing w:after="0" w:line="11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Any one or more of the factors above may result in significant fluctuations in our results of operations. You should not rely on our past results as an indicator of our future performance.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Data Collection and the Use of Collected Data</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disabling of third-party cookies, and the potential of others to develop proprietary replacements for cookies, could adversely affect our business, results of operations, and financial condition.</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Some prominent technology companies, including Google, have also announced intentions to discontinue the use of third-party cookies, and to develop alternative methods and mechanisms for targeting advertisements. On January 4, 2024, Google disabled third-party cookies for up to 1% of Chrome users. Google also initially announced plans to disable cookies for additional users beginning in the third quarter of 2024, though the timeline for the further disablement of cookies has been postponed until at least 2025 by Google. If companies are forced to rely on targeting methodologies other than cookies, such companies may instead rely on proprietary products, algorithms, or statistical methods to track consumers without cookies, or may utilize log-in credentials entered by consumers into other web properties owned by those companies such as their email services to track web usage, including usage across multiple devices.</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such companies may build different and potentially proprietary consumer tracking methods into their widely used web browsers, which we may not be able to effectively use for our publishers and buyers. Many applications and other devices also allow consumers to avoid receiving advertisements by paying for subscriptions or other downloads. Although we believe our platform is well-positioned to adapt and continue to provide key data insights to our publishers without cookies, this transition could be more disruptive, slower, or more expensive than we currently anticipate, or publishers and buyers could elect to move a larger proportion of their advertising inventory or spend to these providers to take advantage of proprietary consumer tracking methods, any of which could materially affect our ability to serve our customers, publishers, and buyers, and our business, results of operations, and financial condition could be adversely affected.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 OF EQUITY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our repurchases of our Class A common stock during the three months ended March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70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Approximate Dollar</w:t>
            </w:r>
          </w:p>
        </w:tc>
      </w:tr>
      <w:tr>
        <w:trPr>
          <w:trHeight w:val="216"/>
        </w:trPr>
        <w:tc>
          <w:tcPr>
            <w:tcW w:w="27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Purchased as Part of</w:t>
            </w:r>
          </w:p>
        </w:tc>
        <w:tc>
          <w:tcPr>
            <w:tcW w:w="20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Value of Shares that May</w:t>
            </w:r>
          </w:p>
        </w:tc>
      </w:tr>
      <w:tr>
        <w:trPr>
          <w:trHeight w:val="213"/>
        </w:trPr>
        <w:tc>
          <w:tcPr>
            <w:tcW w:w="270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Total Number of Shares</w:t>
            </w: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Average Price Paid Per</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Publicly Announced Plans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Yet Be Purchased Under</w:t>
            </w:r>
          </w:p>
        </w:tc>
      </w:tr>
      <w:tr>
        <w:trPr>
          <w:trHeight w:val="26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21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Purchased</w:t>
            </w:r>
          </w:p>
        </w:tc>
        <w:tc>
          <w:tcPr>
            <w:tcW w:w="260" w:type="dxa"/>
            <w:vAlign w:val="bottom"/>
            <w:shd w:val="clear" w:color="auto" w:fill="CCEEFF"/>
          </w:tcPr>
          <w:p>
            <w:pPr>
              <w:spacing w:after="0"/>
              <w:rPr>
                <w:sz w:val="23"/>
                <w:szCs w:val="23"/>
                <w:color w:val="auto"/>
              </w:rPr>
            </w:pPr>
          </w:p>
        </w:tc>
        <w:tc>
          <w:tcPr>
            <w:tcW w:w="20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3"/>
                <w:szCs w:val="23"/>
                <w:color w:val="auto"/>
                <w:vertAlign w:val="superscript"/>
              </w:rPr>
              <w:t>(2)</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or Programs</w:t>
            </w:r>
            <w:r>
              <w:rPr>
                <w:rFonts w:ascii="Times New Roman" w:cs="Times New Roman" w:eastAsia="Times New Roman" w:hAnsi="Times New Roman"/>
                <w:sz w:val="23"/>
                <w:szCs w:val="23"/>
                <w:color w:val="auto"/>
                <w:w w:val="95"/>
                <w:vertAlign w:val="superscript"/>
              </w:rPr>
              <w:t>(1)</w:t>
            </w:r>
          </w:p>
        </w:tc>
        <w:tc>
          <w:tcPr>
            <w:tcW w:w="2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the Plans or Programs</w:t>
            </w:r>
            <w:r>
              <w:rPr>
                <w:rFonts w:ascii="Times New Roman" w:cs="Times New Roman" w:eastAsia="Times New Roman" w:hAnsi="Times New Roman"/>
                <w:sz w:val="23"/>
                <w:szCs w:val="23"/>
                <w:color w:val="auto"/>
                <w:w w:val="97"/>
                <w:vertAlign w:val="superscript"/>
              </w:rPr>
              <w:t>(1)</w:t>
            </w:r>
          </w:p>
        </w:tc>
      </w:tr>
      <w:tr>
        <w:trPr>
          <w:trHeight w:val="225"/>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2024 – January 31,</w:t>
            </w:r>
          </w:p>
        </w:tc>
        <w:tc>
          <w:tcPr>
            <w:tcW w:w="2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348,251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14.98</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348,251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110,516,733</w:t>
            </w:r>
          </w:p>
        </w:tc>
      </w:tr>
      <w:tr>
        <w:trPr>
          <w:trHeight w:val="27"/>
        </w:trPr>
        <w:tc>
          <w:tcPr>
            <w:tcW w:w="2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2024 – February 29,</w:t>
            </w:r>
          </w:p>
        </w:tc>
        <w:tc>
          <w:tcPr>
            <w:tcW w:w="2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41"/>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15.38</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108,234,110</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 – March 31, 2024</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20.59</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100,038,201</w:t>
            </w:r>
          </w:p>
        </w:tc>
      </w:tr>
      <w:tr>
        <w:trPr>
          <w:trHeight w:val="27"/>
        </w:trPr>
        <w:tc>
          <w:tcPr>
            <w:tcW w:w="27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8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894,651</w:t>
            </w:r>
          </w:p>
        </w:tc>
        <w:tc>
          <w:tcPr>
            <w:tcW w:w="26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894,651</w:t>
            </w:r>
          </w:p>
        </w:tc>
        <w:tc>
          <w:tcPr>
            <w:tcW w:w="26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above do not include the 1% excise tax on stock repurchases enacted by the Inflation Reduction Act of 2022.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48" w:lineRule="exact"/>
        <w:rPr>
          <w:sz w:val="20"/>
          <w:szCs w:val="20"/>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28, 2023, we announced the authorization of a share repurchase program for the repurchase of shares of our Class A common stock in an aggregate amount of up to $75 million through December 31, 2024. On February 22, 2024, we announced the authorization of an additional share repurchase program for the repurchase of shares of our Class A common stock in an aggregate amount of up to $100 million through December 31, 2025.</w:t>
      </w:r>
    </w:p>
    <w:p>
      <w:pPr>
        <w:spacing w:after="0" w:line="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paid per share includes costs associated with the repurchases.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Trading Plans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first quarter of 2024, no Section 16 director or officer adopted, modified, or terminated a “Rule 10b5-1 trading arrangement” (as defined in 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 of Regulation S-K of the Exchange Act).</w:t>
      </w:r>
    </w:p>
    <w:p>
      <w:pPr>
        <w:spacing w:after="0" w:line="9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“non-Rule 10b5-1 trading arrangements” (as defined in Item 408 of Regulation S-K of the Exchange Act) adopted, modified, or terminated during the first quarter of 2024 by our directors and Section 16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58"/>
        </w:trPr>
        <w:tc>
          <w:tcPr>
            <w:tcW w:w="10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7"/>
        </w:trPr>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14(a) and 15d-14(a) under the Securities Exchange Act of 1934, as</w:t>
            </w:r>
          </w:p>
        </w:tc>
        <w:tc>
          <w:tcPr>
            <w:tcW w:w="1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w:t>
            </w:r>
          </w:p>
        </w:tc>
        <w:tc>
          <w:tcPr>
            <w:tcW w:w="50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9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w:t>
            </w:r>
          </w:p>
        </w:tc>
        <w:tc>
          <w:tcPr>
            <w:tcW w:w="44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14(a) and 15d-14(a) under the Securities Exchange Act of 1934, as</w:t>
            </w:r>
          </w:p>
        </w:tc>
        <w:tc>
          <w:tcPr>
            <w:tcW w:w="1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w:t>
            </w:r>
          </w:p>
        </w:tc>
        <w:tc>
          <w:tcPr>
            <w:tcW w:w="50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9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0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360" w:type="dxa"/>
            <w:vAlign w:val="bottom"/>
            <w:tcBorders>
              <w:top w:val="single" w:sz="8" w:color="0000FF"/>
            </w:tcBorders>
            <w:gridSpan w:val="3"/>
          </w:tcPr>
          <w:p>
            <w:pPr>
              <w:spacing w:after="0"/>
              <w:rPr>
                <w:sz w:val="17"/>
                <w:szCs w:val="17"/>
                <w:color w:val="auto"/>
              </w:rPr>
            </w:pPr>
          </w:p>
        </w:tc>
        <w:tc>
          <w:tcPr>
            <w:tcW w:w="2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50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360" w:type="dxa"/>
            <w:vAlign w:val="bottom"/>
            <w:tcBorders>
              <w:top w:val="single" w:sz="8" w:color="0000FF"/>
            </w:tcBorders>
            <w:gridSpan w:val="3"/>
          </w:tcPr>
          <w:p>
            <w:pPr>
              <w:spacing w:after="0"/>
              <w:rPr>
                <w:sz w:val="17"/>
                <w:szCs w:val="17"/>
                <w:color w:val="auto"/>
              </w:rPr>
            </w:pPr>
          </w:p>
        </w:tc>
        <w:tc>
          <w:tcPr>
            <w:tcW w:w="2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4"/>
                <w:szCs w:val="24"/>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its XBRL tags are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06"/>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101.DEF</w:t>
            </w:r>
          </w:p>
        </w:tc>
        <w:tc>
          <w:tcPr>
            <w:tcW w:w="20" w:type="dxa"/>
            <w:vAlign w:val="bottom"/>
          </w:tcPr>
          <w:p>
            <w:pPr>
              <w:spacing w:after="0"/>
              <w:rPr>
                <w:sz w:val="24"/>
                <w:szCs w:val="24"/>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4"/>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06"/>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27" w:lineRule="exact"/>
        <w:rPr>
          <w:sz w:val="20"/>
          <w:szCs w:val="20"/>
          <w:color w:val="auto"/>
        </w:rPr>
      </w:pPr>
    </w:p>
    <w:p>
      <w:pPr>
        <w:jc w:val="both"/>
        <w:ind w:firstLine="8"/>
        <w:spacing w:after="0" w:line="270" w:lineRule="auto"/>
        <w:tabs>
          <w:tab w:leader="none" w:pos="31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Indicates a management contract, compensatory plan or arrangement.</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Dated: May 7, 2024</w:t>
      </w:r>
    </w:p>
    <w:p>
      <w:pPr>
        <w:spacing w:after="0" w:line="1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PUBMATIC, INC.</w:t>
      </w:r>
    </w:p>
    <w:p>
      <w:pPr>
        <w:spacing w:after="0" w:line="337" w:lineRule="exact"/>
        <w:rPr>
          <w:sz w:val="20"/>
          <w:szCs w:val="20"/>
          <w:color w:val="auto"/>
        </w:rPr>
      </w:pPr>
    </w:p>
    <w:p>
      <w:pPr>
        <w:ind w:left="5340"/>
        <w:spacing w:after="0"/>
        <w:tabs>
          <w:tab w:leader="none" w:pos="5800" w:val="left"/>
        </w:tabs>
        <w:rPr>
          <w:sz w:val="20"/>
          <w:szCs w:val="20"/>
          <w:color w:val="auto"/>
        </w:rPr>
      </w:pPr>
      <w:r>
        <w:rPr>
          <w:rFonts w:ascii="Times New Roman" w:cs="Times New Roman" w:eastAsia="Times New Roman" w:hAnsi="Times New Roman"/>
          <w:sz w:val="18"/>
          <w:szCs w:val="18"/>
          <w:color w:val="auto"/>
        </w:rPr>
        <w:t>By:</w:t>
        <w:tab/>
        <w:t>/s/ Steven Pantelick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34290</wp:posOffset>
            </wp:positionV>
            <wp:extent cx="34544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Steven Pantelick</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229" w:right="3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EXCHANGE ACT RULES 13a-14(a) AND 15d-14(a) 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Rajeev K. Goel, certify that:</w:t>
      </w:r>
    </w:p>
    <w:p>
      <w:pPr>
        <w:spacing w:after="0" w:line="25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PubMatic,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Dated: May 7,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Rajeev K. Goel</w:t>
      </w:r>
    </w:p>
    <w:p>
      <w:pPr>
        <w:spacing w:after="0" w:line="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Rajeev K. Goel</w:t>
      </w:r>
    </w:p>
    <w:p>
      <w:pPr>
        <w:spacing w:after="0" w:line="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EXCHANGE ACT RULES 13a-14(a) AND 15d-14(a) 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Pantelick, certify that:</w:t>
      </w:r>
    </w:p>
    <w:p>
      <w:pPr>
        <w:spacing w:after="0" w:line="25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PubMatic,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Dated: May 7,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Steven Pantelick</w:t>
      </w:r>
    </w:p>
    <w:p>
      <w:pPr>
        <w:spacing w:after="0" w:line="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Steven Pantelick</w:t>
      </w:r>
    </w:p>
    <w:p>
      <w:pPr>
        <w:spacing w:after="0" w:line="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2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7" w:lineRule="exact"/>
        <w:rPr>
          <w:sz w:val="20"/>
          <w:szCs w:val="20"/>
          <w:color w:val="auto"/>
        </w:rPr>
      </w:pPr>
    </w:p>
    <w:p>
      <w:pPr>
        <w:jc w:val="center"/>
        <w:ind w:left="360" w:right="2140"/>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PURSUANT TO 18 U.S.C. SECTION 1350, AS ADOPTED PURSUANT TO SECTION 906 OF THE SARBANES-OXLEY ACT OF 2002</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Rajeev K. Goel, Chief Executive Officer of PubMatic, Inc. (the “Company”), do hereby certify, pursuant to 18 U.S.C. Section 1350, as adopted pursuant to Section 906 of the Sarbanes-Oxley Act of 2002, that to my knowledge:</w:t>
      </w:r>
    </w:p>
    <w:p>
      <w:pPr>
        <w:spacing w:after="0" w:line="189" w:lineRule="exact"/>
        <w:rPr>
          <w:sz w:val="20"/>
          <w:szCs w:val="20"/>
          <w:color w:val="auto"/>
        </w:rPr>
      </w:pPr>
    </w:p>
    <w:p>
      <w:pPr>
        <w:ind w:left="660" w:right="20" w:hanging="328"/>
        <w:spacing w:after="0" w:line="282"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2024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Dated: May 7,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Rajeev K. Goel</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Rajeev K. Goel</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ectPr>
          <w:pgSz w:w="11900" w:h="16838" w:orient="portrait"/>
          <w:cols w:equalWidth="0" w:num="1">
            <w:col w:w="11240"/>
          </w:cols>
          <w:pgMar w:left="320" w:top="95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7" w:lineRule="exact"/>
        <w:rPr>
          <w:sz w:val="20"/>
          <w:szCs w:val="20"/>
          <w:color w:val="auto"/>
        </w:rPr>
      </w:pPr>
    </w:p>
    <w:p>
      <w:pPr>
        <w:jc w:val="center"/>
        <w:ind w:left="360" w:right="2140"/>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PURSUANT TO 18 U.S.C. SECTION 1350, AS ADOPTED PURSUANT TO SECTION 906 OF THE SARBANES-OXLEY ACT OF 2002</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Steven Pantelick, Chief Financial Officer of PubMatic, Inc. (the “Company”), do hereby certify, pursuant to 18 U.S.C. Section 1350, as adopted pursuant to Section 906 of the Sarbanes-Oxley Act of 2002, that to my knowledge:</w:t>
      </w:r>
    </w:p>
    <w:p>
      <w:pPr>
        <w:spacing w:after="0" w:line="189" w:lineRule="exact"/>
        <w:rPr>
          <w:sz w:val="20"/>
          <w:szCs w:val="20"/>
          <w:color w:val="auto"/>
        </w:rPr>
      </w:pPr>
    </w:p>
    <w:p>
      <w:pPr>
        <w:ind w:left="660" w:right="20" w:hanging="328"/>
        <w:spacing w:after="0" w:line="282"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2024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Dated: May 7,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Steven Pantelick</w:t>
      </w:r>
    </w:p>
    <w:p>
      <w:pPr>
        <w:spacing w:after="0" w:line="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Steven Pantelick</w:t>
      </w:r>
    </w:p>
    <w:p>
      <w:pPr>
        <w:spacing w:after="0" w:line="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sectPr>
      <w:pgSz w:w="11900" w:h="16838" w:orient="portrait"/>
      <w:cols w:equalWidth="0" w:num="1">
        <w:col w:w="11240"/>
      </w:cols>
      <w:pgMar w:left="320" w:top="9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2024-05-07T15:42:21Z</dcterms:created>
  <dcterms:modified xsi:type="dcterms:W3CDTF">2024-05-07T15:42:21Z</dcterms:modified>
</cp:coreProperties>
</file>