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99060</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78105</wp:posOffset>
            </wp:positionV>
            <wp:extent cx="2966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3660" w:right="1860" w:hanging="3652"/>
        <w:spacing w:after="0" w:line="320" w:lineRule="auto"/>
        <w:tabs>
          <w:tab w:leader="none" w:pos="20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105410</wp:posOffset>
            </wp:positionV>
            <wp:extent cx="2966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PUBMATIC, INC.</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68580</wp:posOffset>
            </wp:positionV>
            <wp:extent cx="29660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168" w:right="339" w:bottom="1077" w:gutter="0" w:footer="0" w:header="0"/>
        </w:sectPr>
      </w:pPr>
    </w:p>
    <w:p>
      <w:pPr>
        <w:spacing w:after="0" w:line="23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20-5863224</w:t>
      </w:r>
    </w:p>
    <w:p>
      <w:pPr>
        <w:spacing w:after="0" w:line="79" w:lineRule="exact"/>
        <w:rPr>
          <w:sz w:val="24"/>
          <w:szCs w:val="24"/>
          <w:color w:val="auto"/>
        </w:rPr>
      </w:pPr>
    </w:p>
    <w:p>
      <w:pPr>
        <w:sectPr>
          <w:pgSz w:w="11900" w:h="16838" w:orient="portrait"/>
          <w:cols w:equalWidth="0" w:num="2">
            <w:col w:w="7280" w:space="720"/>
            <w:col w:w="3240"/>
          </w:cols>
          <w:pgMar w:left="320" w:top="1168" w:right="339" w:bottom="1077"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240" w:space="720"/>
            <w:col w:w="4280"/>
          </w:cols>
          <w:pgMar w:left="320" w:top="1168" w:right="339" w:bottom="1077"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1168" w:right="339" w:bottom="1077" w:gutter="0" w:footer="0" w:header="0"/>
          <w:type w:val="continuous"/>
        </w:sectPr>
      </w:pPr>
    </w:p>
    <w:p>
      <w:pPr>
        <w:spacing w:after="0" w:line="9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59" w:lineRule="exact"/>
        <w:rPr>
          <w:sz w:val="24"/>
          <w:szCs w:val="24"/>
          <w:color w:val="auto"/>
        </w:rPr>
      </w:pPr>
    </w:p>
    <w:p>
      <w:pPr>
        <w:sectPr>
          <w:pgSz w:w="11900" w:h="16838" w:orient="portrait"/>
          <w:cols w:equalWidth="0" w:num="3">
            <w:col w:w="4300" w:space="720"/>
            <w:col w:w="1400" w:space="720"/>
            <w:col w:w="4100"/>
          </w:cols>
          <w:pgMar w:left="320" w:top="1168" w:right="339" w:bottom="1077" w:gutter="0" w:footer="0" w:header="0"/>
          <w:type w:val="continuous"/>
        </w:sectPr>
      </w:pPr>
    </w:p>
    <w:p>
      <w:pPr>
        <w:ind w:left="440"/>
        <w:spacing w:after="0"/>
        <w:tabs>
          <w:tab w:leader="none" w:pos="5320" w:val="left"/>
          <w:tab w:leader="none" w:pos="77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PUBM</w:t>
      </w:r>
      <w:r>
        <w:rPr>
          <w:sz w:val="20"/>
          <w:szCs w:val="20"/>
          <w:color w:val="auto"/>
        </w:rPr>
        <w:tab/>
      </w:r>
      <w:r>
        <w:rPr>
          <w:rFonts w:ascii="Times New Roman" w:cs="Times New Roman" w:eastAsia="Times New Roman" w:hAnsi="Times New Roman"/>
          <w:sz w:val="18"/>
          <w:szCs w:val="18"/>
          <w:b w:val="1"/>
          <w:bCs w:val="1"/>
          <w:color w:val="auto"/>
        </w:rPr>
        <w:t>The Nasdaq Global Market</w:t>
      </w:r>
    </w:p>
    <w:p>
      <w:pPr>
        <w:sectPr>
          <w:pgSz w:w="11900" w:h="16838" w:orient="portrait"/>
          <w:cols w:equalWidth="0" w:num="1">
            <w:col w:w="11240"/>
          </w:cols>
          <w:pgMar w:left="320" w:top="1168" w:right="339" w:bottom="1077" w:gutter="0" w:footer="0" w:header="0"/>
          <w:type w:val="continuous"/>
        </w:sectPr>
      </w:pP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63" w:lineRule="exact"/>
        <w:rPr>
          <w:sz w:val="24"/>
          <w:szCs w:val="24"/>
          <w:color w:val="auto"/>
        </w:rPr>
      </w:pPr>
    </w:p>
    <w:p>
      <w:pPr>
        <w:ind w:right="254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rPr>
                <w:sz w:val="20"/>
                <w:szCs w:val="20"/>
                <w:color w:val="auto"/>
              </w:rPr>
            </w:pPr>
            <w:r>
              <w:rPr>
                <w:rFonts w:ascii="Wingdings" w:cs="Wingdings" w:eastAsia="Wingdings" w:hAnsi="Wingdings"/>
                <w:sz w:val="16"/>
                <w:szCs w:val="16"/>
                <w:b w:val="1"/>
                <w:bCs w:val="1"/>
                <w:color w:val="auto"/>
                <w:w w:val="83"/>
              </w:rPr>
              <w:t>o</w:t>
            </w:r>
          </w:p>
        </w:tc>
      </w:tr>
      <w:tr>
        <w:trPr>
          <w:trHeight w:val="217"/>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0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17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1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spacing w:after="0" w:line="24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ind w:right="320"/>
        <w:spacing w:after="0" w:line="24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market value of common equity held by non-affiliates of the registrant as of June 30, 2023, based on the closing sales price for the registrant’s Class A common stock, as reported on the Nasdaq Global Market, was approximately $810.1 million. As of February 21, 2024, there were 41,270,102 shares of the registrant’s Class A common stock outstanding and 8,738,452 shares of the registrant’s Class B common stock outstanding.</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4"/>
          <w:szCs w:val="24"/>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Portions of the registrant’s proxy statement for its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8" w:right="339" w:bottom="107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4"/>
        </w:trPr>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9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96"/>
        </w:trPr>
        <w:tc>
          <w:tcPr>
            <w:tcW w:w="10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Note About Forward-Looking Statements</w:t>
            </w:r>
          </w:p>
        </w:tc>
        <w:tc>
          <w:tcPr>
            <w:tcW w:w="560" w:type="dxa"/>
            <w:vAlign w:val="bottom"/>
            <w:gridSpan w:val="2"/>
          </w:tcPr>
          <w:p>
            <w:pPr>
              <w:jc w:val="center"/>
              <w:ind w:left="291"/>
              <w:spacing w:after="0" w:line="196" w:lineRule="exact"/>
              <w:rPr>
                <w:sz w:val="20"/>
                <w:szCs w:val="20"/>
                <w:color w:val="auto"/>
              </w:rPr>
            </w:pPr>
            <w:r>
              <w:rPr>
                <w:rFonts w:ascii="Times New Roman" w:cs="Times New Roman" w:eastAsia="Times New Roman" w:hAnsi="Times New Roman"/>
                <w:sz w:val="18"/>
                <w:szCs w:val="18"/>
                <w:color w:val="0000FF"/>
              </w:rPr>
              <w:t>1</w:t>
            </w:r>
          </w:p>
        </w:tc>
        <w:tc>
          <w:tcPr>
            <w:tcW w:w="380" w:type="dxa"/>
            <w:vAlign w:val="bottom"/>
          </w:tcPr>
          <w:p>
            <w:pPr>
              <w:spacing w:after="0"/>
              <w:rPr>
                <w:sz w:val="17"/>
                <w:szCs w:val="17"/>
                <w:color w:val="auto"/>
              </w:rPr>
            </w:pPr>
          </w:p>
        </w:tc>
      </w:tr>
      <w:tr>
        <w:trPr>
          <w:trHeight w:val="250"/>
        </w:trPr>
        <w:tc>
          <w:tcPr>
            <w:tcW w:w="18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Market and Industry Data</w:t>
            </w:r>
          </w:p>
        </w:tc>
        <w:tc>
          <w:tcPr>
            <w:tcW w:w="1140" w:type="dxa"/>
            <w:vAlign w:val="bottom"/>
            <w:tcBorders>
              <w:top w:val="single" w:sz="8" w:color="0000FF"/>
            </w:tcBorders>
            <w:gridSpan w:val="7"/>
          </w:tcPr>
          <w:p>
            <w:pPr>
              <w:spacing w:after="0"/>
              <w:rPr>
                <w:sz w:val="21"/>
                <w:szCs w:val="21"/>
                <w:color w:val="auto"/>
              </w:rPr>
            </w:pPr>
          </w:p>
        </w:tc>
        <w:tc>
          <w:tcPr>
            <w:tcW w:w="728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380" w:type="dxa"/>
            <w:vAlign w:val="bottom"/>
          </w:tcPr>
          <w:p>
            <w:pPr>
              <w:spacing w:after="0"/>
              <w:rPr>
                <w:sz w:val="21"/>
                <w:szCs w:val="21"/>
                <w:color w:val="auto"/>
              </w:rPr>
            </w:pPr>
          </w:p>
        </w:tc>
      </w:tr>
      <w:tr>
        <w:trPr>
          <w:trHeight w:val="250"/>
        </w:trPr>
        <w:tc>
          <w:tcPr>
            <w:tcW w:w="102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56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21"/>
                <w:szCs w:val="21"/>
                <w:color w:val="auto"/>
              </w:rPr>
            </w:pPr>
          </w:p>
        </w:tc>
      </w:tr>
      <w:tr>
        <w:trPr>
          <w:trHeight w:val="291"/>
        </w:trPr>
        <w:tc>
          <w:tcPr>
            <w:tcW w:w="9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80"/>
              <w:spacing w:after="0"/>
              <w:rPr>
                <w:sz w:val="20"/>
                <w:szCs w:val="20"/>
                <w:color w:val="auto"/>
              </w:rPr>
            </w:pPr>
            <w:r>
              <w:rPr>
                <w:rFonts w:ascii="Times New Roman" w:cs="Times New Roman" w:eastAsia="Times New Roman" w:hAnsi="Times New Roman"/>
                <w:sz w:val="18"/>
                <w:szCs w:val="18"/>
                <w:color w:val="auto"/>
              </w:rPr>
              <w:t>Part I</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700" w:type="dxa"/>
            <w:vAlign w:val="bottom"/>
            <w:gridSpan w:val="22"/>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380" w:type="dxa"/>
            <w:vAlign w:val="bottom"/>
          </w:tcPr>
          <w:p>
            <w:pPr>
              <w:spacing w:after="0"/>
              <w:rPr>
                <w:sz w:val="19"/>
                <w:szCs w:val="19"/>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14</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00" w:type="dxa"/>
            <w:vAlign w:val="bottom"/>
            <w:gridSpan w:val="12"/>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40" w:type="dxa"/>
            <w:vAlign w:val="bottom"/>
            <w:gridSpan w:val="17"/>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6"/>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91"/>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color w:val="auto"/>
              </w:rPr>
              <w:t>Part II</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6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6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940" w:type="dxa"/>
            <w:vAlign w:val="bottom"/>
            <w:gridSpan w:val="3"/>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40" w:type="dxa"/>
            <w:vAlign w:val="bottom"/>
            <w:gridSpan w:val="3"/>
          </w:tcPr>
          <w:p>
            <w:pPr>
              <w:spacing w:after="0"/>
              <w:rPr>
                <w:sz w:val="21"/>
                <w:szCs w:val="21"/>
                <w:color w:val="auto"/>
              </w:rPr>
            </w:pPr>
          </w:p>
        </w:tc>
        <w:tc>
          <w:tcPr>
            <w:tcW w:w="2940" w:type="dxa"/>
            <w:vAlign w:val="bottom"/>
            <w:gridSpan w:val="3"/>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80" w:type="dxa"/>
            <w:vAlign w:val="bottom"/>
            <w:gridSpan w:val="6"/>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 with Accountants on Accounting and Financial Disclosure</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940" w:type="dxa"/>
            <w:vAlign w:val="bottom"/>
            <w:gridSpan w:val="3"/>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89</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21"/>
                <w:szCs w:val="21"/>
                <w:color w:val="auto"/>
              </w:rPr>
            </w:pPr>
          </w:p>
        </w:tc>
        <w:tc>
          <w:tcPr>
            <w:tcW w:w="7580" w:type="dxa"/>
            <w:vAlign w:val="bottom"/>
            <w:gridSpan w:val="14"/>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440" w:type="dxa"/>
            <w:vAlign w:val="bottom"/>
            <w:gridSpan w:val="5"/>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80"/>
              <w:spacing w:after="0"/>
              <w:rPr>
                <w:sz w:val="20"/>
                <w:szCs w:val="20"/>
                <w:color w:val="auto"/>
              </w:rPr>
            </w:pPr>
            <w:r>
              <w:rPr>
                <w:rFonts w:ascii="Times New Roman" w:cs="Times New Roman" w:eastAsia="Times New Roman" w:hAnsi="Times New Roman"/>
                <w:sz w:val="18"/>
                <w:szCs w:val="18"/>
                <w:color w:val="auto"/>
              </w:rPr>
              <w:t>Part III</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40" w:type="dxa"/>
            <w:vAlign w:val="bottom"/>
            <w:gridSpan w:val="7"/>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40" w:type="dxa"/>
            <w:vAlign w:val="bottom"/>
            <w:gridSpan w:val="7"/>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60" w:type="dxa"/>
            <w:vAlign w:val="bottom"/>
            <w:gridSpan w:val="2"/>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900" w:type="dxa"/>
            <w:vAlign w:val="bottom"/>
            <w:gridSpan w:val="4"/>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9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80"/>
              <w:spacing w:after="0"/>
              <w:rPr>
                <w:sz w:val="20"/>
                <w:szCs w:val="20"/>
                <w:color w:val="auto"/>
              </w:rPr>
            </w:pPr>
            <w:r>
              <w:rPr>
                <w:rFonts w:ascii="Times New Roman" w:cs="Times New Roman" w:eastAsia="Times New Roman" w:hAnsi="Times New Roman"/>
                <w:sz w:val="18"/>
                <w:szCs w:val="18"/>
                <w:color w:val="auto"/>
                <w:w w:val="98"/>
              </w:rPr>
              <w:t>Part IV</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440" w:type="dxa"/>
            <w:vAlign w:val="bottom"/>
            <w:gridSpan w:val="9"/>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40" w:type="dxa"/>
            <w:vAlign w:val="bottom"/>
            <w:gridSpan w:val="9"/>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7800" w:type="dxa"/>
            <w:vAlign w:val="bottom"/>
            <w:gridSpan w:val="1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gridSpan w:val="5"/>
          </w:tcPr>
          <w:p>
            <w:pPr>
              <w:spacing w:after="0"/>
              <w:rPr>
                <w:sz w:val="21"/>
                <w:szCs w:val="21"/>
                <w:color w:val="auto"/>
              </w:rPr>
            </w:pPr>
          </w:p>
        </w:tc>
        <w:tc>
          <w:tcPr>
            <w:tcW w:w="7800" w:type="dxa"/>
            <w:vAlign w:val="bottom"/>
            <w:gridSpan w:val="15"/>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96</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including the section entitled “Management’s Discussion and Analysis of Financial Condition and Results of Operations,”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growth and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publishers and expand the utilization of our buyers;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consistent supply of quality advertising inventory;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technological advantages against competitors in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the advertising industry, including the impact of macroeconomic conditions, inflation and rising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offerings and bring them to market in a timely manner;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internationally;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or investments in complementary companies or technologies;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legal and industry standards and regulations, particularly concerning data protection and consumer privacy.</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“Risk Factors” and elsewhere in this Annual Report on Form 10-K. Moreover, we operate in a very competitive and rapidly changing environment, and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 You should read this Annual Report on Form 10-K and the documents that we reference in this Annual Report on Form 10-K and have filed with the Securities and Exchange Commission (the “SEC”), with the understanding that our actual future results, performance, and circumstances may be materially different from what we expect.</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the terms “PubMatic,” “we,” “us,” and “our” refer to PubMatic, Inc.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is based on information we obtained from industry publications and third-party research, surveys and studies, as well as assumptions that we have made that are based on that data and on our knowledge of the markets for our products and services. This information involves important assumptions and limitations, and are necessarily subject to a high degree of uncertainty and risk due to a variety of factors, including those described in “Risk Factors” and elsewhere in this this Annual Report on Form 10-K.</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Annual Report on Form 10-K contains our trade names, trademarks, and service marks, including the PubMatic name and logo, and all product names. This Annual Report on Form 10-K may also contain the trade names, trademarks, and service marks of other companies. We do not intend our use or display of other companies’ trade names, trademarks, or service marks to imply a relationship with these other companies, or endorsement or sponsorship of us by these other companies. Other trademarks appearing in this Annual Report on Form 10-K are the property of their respective holders.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1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results of operations are highly dependent on the overall demand for advertising.</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and may not meet our expectations or those of securities analysts and investors.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make the right investment decisions in our platform, or if we fail to innovate and develop new solutions that are adopted by publishers, we may not attract and retain publishers and buyers, which could adversely affect our business, results of operations, and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scale our platform infrastructure to support anticipated growth and transaction volume. If we fail to do so, or doing so becomes too costly, we may limit our ability to process ad impressions, and we may lose revenue.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provide new or expanded offerings may not be successful, or we may not be able to scale our offerings to meet demand in a timely manner, and, as a result, we may not realize a return from our investments.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disabling of third-party cookies, and the potential of others to develop proprietary replacements for cookies,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publishers, buyers, and data providers do not obtain necessary and requisite consents from consumers for us to process their personal data, we could be subject to fines and liability.</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pressure may reduce our revenue per impression.</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or market changes in digital advertising activity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 formats and digital device types develop in ways that prevent advertisements from being delivered to consumers, our business, results of operations, and financial condition may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retain key members of our management team, and on our ability to hire, train, retain, and motivate new employees.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if demand-side platform (“DSP”) buyers dispute or do not pay their invoices, and if DSPs file for bankruptcy protection or there are any decreases in payments, it could adversely affect our reputation, business, results of operations, and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subject us to additional costs and risks, and our continued international expansion may not be successful.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reliance upon technology and development resources in India may expose us to unanticipated costs and liabilities, which could affect our ability to realize cost savings from our operations in India.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centers, the disruption of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platform could be susceptible to errors, defects, or unintended performance problems that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business success depends upon our ability to offer high-quality inventory with appropriate viewability capabilities.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frequently evolving laws, regulations and industry requirements related to data privacy, data protection, information security, and consumer protection across the markets we operate in.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uncertainty and industry unpreparedness for new regulations may mean substantial disruption and inefficiency, demand constraints, and reduced inventory supply and value.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licenses to use the intellectual property rights of third parties to conduct our business.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controls, our ability to produce accurate financial statements and other disclosures on a timely basis could be impaired.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contains operating and financial covenants that may restrict our business and financing activities.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tax liabilities may be greater than anticipated.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changes could affect our effective tax rate and future profitability.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Class A common stock has been and may continue to be volatile and could subject us to litigation.</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PubMatic, Inc. (“we”, or “us) is an independent technology company seeking to maximize customer value by delivering digital advertising’s supply chain of the future. Our mission is to fuel the endless potential of Internet content creators.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integrated technology platform empowers the world’s leading digital content creators (which we collectively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the digital advertising ecosystem continues to evolve, some key industry trends include:</w:t>
      </w:r>
    </w:p>
    <w:p>
      <w:pPr>
        <w:spacing w:after="0" w:line="11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Growth of Digital Media Across Multiple Platforms: </w:t>
      </w:r>
      <w:r>
        <w:rPr>
          <w:rFonts w:ascii="Times New Roman" w:cs="Times New Roman" w:eastAsia="Times New Roman" w:hAnsi="Times New Roman"/>
          <w:sz w:val="18"/>
          <w:szCs w:val="18"/>
          <w:color w:val="auto"/>
        </w:rPr>
        <w:t>Consumers have dramatically increased the amount of time they spend online,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 devices, or watching content through connected television. Numerous activities that historically occurred offline continue to shift online. To better reach consumers, every major media format has transitioned or is in the process of transitioning content from traditional or analog means of delivery to digital across every media channel and device. In addition, digital advertising continues to evolve into new areas such as commerce media, which creates new opportunities for growth.</w:t>
      </w:r>
    </w:p>
    <w:p>
      <w:pPr>
        <w:spacing w:after="0" w:line="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Automation and Data Processing: </w:t>
      </w:r>
      <w:r>
        <w:rPr>
          <w:rFonts w:ascii="Times New Roman" w:cs="Times New Roman" w:eastAsia="Times New Roman" w:hAnsi="Times New Roman"/>
          <w:sz w:val="18"/>
          <w:szCs w:val="18"/>
          <w:color w:val="auto"/>
        </w:rPr>
        <w:t>The challenges of scale and the complexity of the digital advertising ecosystem require an automated, fast,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approach to purchasing ads online, known as programmatic advertising. Programmatic advertising, on an automated basis, enables buyers to purchase ad impressions on publisher supplied inventory within milliseconds in a sophisticated, technology-driven marketplace. With header bidding, which enables a single parallel auction by a publisher with multiple interested parties simultaneously, the industry has seen a significant increase in the number of ad impressions that need to be processed and analyzed in real-time by each participant in the digital advertising ecosystem.</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consumers increasingly engage with digital media, and as advertisers bid on a growing array of ad formats and impressions, an immense amount of data is generated. This data includes anonymized consumer information about interests and intent, log files of winning and losing advertiser bids, and transaction records for billing and payment reconciliation. Technology infrastructure platforms must rapidly process this data while offering a seamless digital ad experience for consumers. Companies must continue to innovate and find efficiencies in their data processing, including through the use of machine learning and artificial intelligence, to maintain pace with growing volumes of transactions to maintain profitability.</w:t>
      </w:r>
    </w:p>
    <w:p>
      <w:pPr>
        <w:spacing w:after="0" w:line="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Consolidation and Convergence of the Sell Side and Buy Side Technology Platforms: </w:t>
      </w:r>
      <w:r>
        <w:rPr>
          <w:rFonts w:ascii="Times New Roman" w:cs="Times New Roman" w:eastAsia="Times New Roman" w:hAnsi="Times New Roman"/>
          <w:sz w:val="18"/>
          <w:szCs w:val="18"/>
          <w:color w:val="auto"/>
        </w:rPr>
        <w:t>As advertisers increase the percentage of their overall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budgets spent on digital formats, they are increasingly demanding greater efficiency and control of their entire digital advertising supply chain. Efficiency includes reducing operational costs, increasing the simplicity of the buying process, and increasing the return on ad spend or investment. Control refers to the buyer determining which media, content, or consumer their ad spend is being invested with to avoid appearing next to content that reflects poorly on the advertiser’s brand or purchasing fraudulent or fake inventory.</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desire for efficiency and control has led to a growing trend among advertisers to establish direct relationships with vendors in the digital advertising ecosystem that have transparent business practices and technical capabilities to meet their objectives. Additionally, buyers are increasingly interested in adopting integrated solutions on one platform that provides both demand side and sell side functionality, to deliver on their efficiency and control objectives. This has resulted in a larger portion of media spend consolidating onto fewer, more capable technology platforms.</w:t>
      </w:r>
    </w:p>
    <w:p>
      <w:pPr>
        <w:spacing w:after="0" w:line="6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Data Privacy and Regulatory Challenges: </w:t>
      </w:r>
      <w:r>
        <w:rPr>
          <w:rFonts w:ascii="Times New Roman" w:cs="Times New Roman" w:eastAsia="Times New Roman" w:hAnsi="Times New Roman"/>
          <w:sz w:val="18"/>
          <w:szCs w:val="18"/>
          <w:color w:val="auto"/>
        </w:rPr>
        <w:t>There is an increasing awareness of how Internet user data is being leveraged to target ads, resulting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growing number of privacy laws and regulations. In addition to governmental actors, including legislatures and regulatory agencies, there have also been a growing number of consumer-focused non-profit organizations and commercial entities advocating for privacy rights. These laws and institutions enable Internet consumers to assert their rights over the use of their online data in advertising transactions, a trend which we support. The digital advertising landscape must continue to adapt to these trends and incorporate awareness of consumer privacy and compliance with applicable laws and regulations.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several companies have greatly limited the use of third-party cookies and other non-privacy safe identifiers. We believe the “Open Internet” outside the “walled gardens” (a colloquial term that refers to closed advertising platforms such as Google and Facebook) will shift from targeting by anonymized and invisible third-party cookies or identifiers to known identities based on consumer choice and opt-in. We expect this shift towards significantly more reliable and accurate consumer identity will create short term disruption but could have the potential to significantly increase advertiser return on investment (“ROI”) and therefore publisher revenue in the long run.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Digital Advertising Solutions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primarily work with publishers and app developers who allow us direct access to their ad inventory, as well as select channel partners that meet our quality and scale thresholds. Our channel partners aggregate and provide further access to thousands of sites and apps from smaller publishers. We generate revenue through fees charged to our publishers, which are generally a percentage of the value of the advertising impressions that publishers monetize on our platform.</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generate revenues from our other products such as OpenWrap, our header bidding solution, and Connect, our solution that provides additional data and insights to buyers, which are sold separate from or in conjunction with use of our platform. We continue to invest in new features for our existing solutions and new solutions such as our new product Activate, which allows buyers to execute direct deals on our platform across publisher inventory, and Convert, our commerce media solution, both of which were launched in 2023.</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enter into written service agreements with our buyers, primarily DSPs, that allow them to use our platform to buy ad inventory. Two of our largest DSP relationships are with Google and The Trade Desk. We are party to an agreement with Google LLC, under which Google is a buyer on our platform. The initial one-year term of the current agreement ended in May 2019, and it automatically renews for successive one-year terms unless either party provides written notice at least 60 days’ prior to the end of the initial term or such successive terms. Either party may terminate for convenience upon providing at least 30 days’ prior written notice. We signed a prior similar agreement with a Google subsidiary in 2012. We are also party to an agreement with The Trade Desk, Inc., under which The Trade Desk is a buyer on our platform. The initial term of the agreement ended in November 2013, and it automatically renews for successive one-year terms. Either party may terminate for convenience upon providing at least 30 days’ prior written notice.</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Digital advertising spending has historically been subject to seasonality.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while those same impressions may be priced lower in other quarters.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Publishers are actively seeking to maximize the value of their ad inventory, and buyers are seeking to increase advertising ROI. We believe that our specialized cloud platform, supported by rapid innovation, and transparent business model provide incentives to buyers to consolidate an increasing share of their total digital spend on our platform. At the same time, we believe our direct publisher relationships, omnichannel header bidding capabilities, global scale, and access to incremental advertiser demand through direct relationships with buyers drive superior yield for publishers.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strengths provide us with long-term competitive advantages:</w:t>
      </w:r>
    </w:p>
    <w:p>
      <w:pPr>
        <w:spacing w:after="0" w:line="11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Omnichannel Reach: </w:t>
      </w:r>
      <w:r>
        <w:rPr>
          <w:rFonts w:ascii="Times New Roman" w:cs="Times New Roman" w:eastAsia="Times New Roman" w:hAnsi="Times New Roman"/>
          <w:sz w:val="18"/>
          <w:szCs w:val="18"/>
          <w:color w:val="auto"/>
        </w:rPr>
        <w:t>We are a global business with distributed critical infrastructure and a go-to-market presence in every major advertising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in the world outside of China. Many of our publisher customers have diversified businesses with media properties and audiences across the globe and with a wide variety of ad products, including display and video ads across desktop, tablet, mobile, and connected TV devices. Similarly, many of our advertiser and agency customers have brand portfolios that span the globe with a variety of ad campaign requirements – from branding to performance, to combinations thereof. All of these parties actively seek global, omnichannel platform providers that can solve for their needs around the world and across ad formats and devices. Our offering is omnichannel and targets a diverse set of publishers touching many ad formats, and digital device types, including mobile app, mobile web, desktop, display, video, over-the-top video/connected TV (“OTT/CTV”), and rich media. Due to the global, omnichannel reach of our infrastructure, we believe we are well positioned to help publishers and ad buyers make their advertising businesses more efficient and effective.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Control and Partnership: </w:t>
      </w:r>
      <w:r>
        <w:rPr>
          <w:rFonts w:ascii="Times New Roman" w:cs="Times New Roman" w:eastAsia="Times New Roman" w:hAnsi="Times New Roman"/>
          <w:sz w:val="18"/>
          <w:szCs w:val="18"/>
          <w:color w:val="auto"/>
        </w:rPr>
        <w:t>Due to our status as an independent infrastructure provider prioritizing transparency, we can be more closely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aligned with both publishers and buyers. We do not own media and therefore do not have a vested interest in driving ad revenue to specific media properties. We do not take a position in media or arbitrage media. Transparency is a fundamental principle of our business and we provide detailed insights into fees to our customers. Our customers can therefore be more confident that our algorithmic software decisions and our guidance are independent and unbiased. Our trusted status has enabled us to build direct relationships with publishers, advertisers, agencies, and DSPs. Leveraging these relationships, we create bespoke products that meet our customers’ needs. Our ability to meet the demands of both buyers and inventory sellers enables us to produce superior outcomes for all industry participants.</w:t>
      </w:r>
    </w:p>
    <w:p>
      <w:pPr>
        <w:spacing w:after="0" w:line="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Sustained Innovation of our Cloud Platform: </w:t>
      </w:r>
      <w:r>
        <w:rPr>
          <w:rFonts w:ascii="Times New Roman" w:cs="Times New Roman" w:eastAsia="Times New Roman" w:hAnsi="Times New Roman"/>
          <w:sz w:val="18"/>
          <w:szCs w:val="18"/>
          <w:color w:val="auto"/>
        </w:rPr>
        <w:t>Our specialized cloud platform enables real-time programmatic advertising transactions in a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characterized by significant data and impression volumes, regulatory complexity, and increased focus on transparency and privacy. We have maintained a demonstrated track record of stability and agility to address these market conditions and provide superior outcomes for both publishers and buyers. Additionally, we own and operate our proprietary software and hardware infrastructure around the world. This approach saves significant costs compared to companies that rely on public cloud alternatives due to the data-intensive nature of digital advertising and the immense volume of ad impressions created by header bidding.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 Our growth strategy includes:</w:t>
      </w:r>
    </w:p>
    <w:p>
      <w:pPr>
        <w:spacing w:after="0" w:line="64"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 New Customers and Expand our Relationship with Existing Customers Globally: </w:t>
      </w:r>
      <w:r>
        <w:rPr>
          <w:rFonts w:ascii="Times New Roman" w:cs="Times New Roman" w:eastAsia="Times New Roman" w:hAnsi="Times New Roman"/>
          <w:sz w:val="18"/>
          <w:szCs w:val="18"/>
          <w:color w:val="auto"/>
        </w:rPr>
        <w:t>We constantly seek to acquire new customers and retain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relationships with existing publishers and buyers around the world. We invest in continued innovation based on the ever-changing market. We utilize customer feedback to help address the demands of publishers and buyers in order to maintain and improve our relationships with those customers. We are constantly evaluating new markets with a strategy to use our existing global infrastructure and adjacent sales offices, or by expanding our infrastructure footprint and placing personnel directly in those markets.</w:t>
      </w:r>
    </w:p>
    <w:p>
      <w:pPr>
        <w:spacing w:after="0" w:line="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Expansion of SPO Agreements and Activate</w:t>
      </w:r>
      <w:r>
        <w:rPr>
          <w:rFonts w:ascii="Times New Roman" w:cs="Times New Roman" w:eastAsia="Times New Roman" w:hAnsi="Times New Roman"/>
          <w:sz w:val="18"/>
          <w:szCs w:val="18"/>
          <w:color w:val="auto"/>
        </w:rPr>
        <w:t>: As advertisers and agencies increasingly consolidate their spending with fewer larger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we seek to increase the proportion of their digital ad spending on our platform through direct relationships. We have entered into supply path optimization (“SPO”) agreements directly with both advertisers and agencies through various arrangements including custom data and workflow integrations, product features, and volume-based business terms. The effect of these SPO agreements is to increase the volume of ad spend on our platform without corresponding increases in technology costs. Additionally we believe our Activate platform provides buyers with the transparency and reporting demands of the buyers and a more efficient, programmatic way to access publisher inventory.</w:t>
      </w:r>
    </w:p>
    <w:p>
      <w:pPr>
        <w:spacing w:after="0" w:line="7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Expansion of Video and Mobile: </w:t>
      </w:r>
      <w:r>
        <w:rPr>
          <w:rFonts w:ascii="Times New Roman" w:cs="Times New Roman" w:eastAsia="Times New Roman" w:hAnsi="Times New Roman"/>
          <w:sz w:val="18"/>
          <w:szCs w:val="18"/>
          <w:color w:val="auto"/>
        </w:rPr>
        <w:t>We see significant growth opportunities in both video and mobile as consumers shift more of their time online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 devices and online streaming services. For example, as streaming video continues to expand and ad-supported models become more prevalent, we expect advertising budgets will shift from linear television to CTV.</w:t>
      </w:r>
    </w:p>
    <w:p>
      <w:pPr>
        <w:spacing w:after="0" w:line="6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Monetization Excellence: </w:t>
      </w:r>
      <w:r>
        <w:rPr>
          <w:rFonts w:ascii="Times New Roman" w:cs="Times New Roman" w:eastAsia="Times New Roman" w:hAnsi="Times New Roman"/>
          <w:sz w:val="18"/>
          <w:szCs w:val="18"/>
          <w:color w:val="auto"/>
        </w:rPr>
        <w:t>We strive to continuously improve publisher revenue and advertiser ROI by investing in our technology and improving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machine learning capabilities. We leverage our artificial intelligence and machine learning capabilities, alongside our growing publisher and buyer relationships, to improve liquidity in our marketplace. Increasing numbers of ad impressions, increasing advertiser bids, and data proliferation provide us with many opportunities to better match sellers and buyers of ad inventory. We believe that improved matching will lead to the growth of our platform and greater publisher and buyer retention.</w:t>
      </w:r>
    </w:p>
    <w:p>
      <w:pPr>
        <w:spacing w:after="0" w:line="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Accelerate New Revenue Streams: </w:t>
      </w:r>
      <w:r>
        <w:rPr>
          <w:rFonts w:ascii="Times New Roman" w:cs="Times New Roman" w:eastAsia="Times New Roman" w:hAnsi="Times New Roman"/>
          <w:sz w:val="18"/>
          <w:szCs w:val="18"/>
          <w:color w:val="auto"/>
        </w:rPr>
        <w:t>As we grow our customer base and process increasing volumes of ad impressions and data, we gain insights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challenges we can solve on behalf of our customers. We focus on creating new products that we believe address our customers’ needs, at times before the customer is aware of such need. For example, the Open Internet continues to shift from targeting by anonymized and invisible third-party cookies that consumers must opt out of, towards known first-party identity based on consumer choice and opt-in or other privacy compliant solutions. As a result, publishers and advertisers must transition to a new identity paradigm. We have built a comprehensive platform that allows for the use of many of the leading identifiers in a scaled and privacy-compliant fashion resulting in increased publisher revenue and buyer ROI. We will continue to invest in our go to market efforts to sell these new offerings such as Connect, Activate and Convert, which drives new revenues streams, and have begun to shift customers from a free to fee model for existing solutions such as OpenWrap.</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Platform Efficiency: </w:t>
      </w:r>
      <w:r>
        <w:rPr>
          <w:rFonts w:ascii="Times New Roman" w:cs="Times New Roman" w:eastAsia="Times New Roman" w:hAnsi="Times New Roman"/>
          <w:sz w:val="18"/>
          <w:szCs w:val="18"/>
          <w:color w:val="auto"/>
        </w:rPr>
        <w:t>We have a track record of expanding the capacity of our infrastructure platform, while maintaining or reducing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costs related to processing impressions transacted on our platform on a per impressions basis. We expect to continue to invest in both software and hardware infrastructure to continue growing the number of valuable ad impressions we process on our platform.</w:t>
      </w:r>
    </w:p>
    <w:p>
      <w:pPr>
        <w:spacing w:after="0" w:line="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analyze the data on our platform through extensive application of artificial intelligence technologies, including machine learning and natural language processing. By leveraging our artificial intelligence and machine learning capabilities we are able to more cost effectively improve outcomes for our customers. For example, when our machine learning models predict that an impression will attract high bids, our algorithms adjust pricing guidance to bidders in real time, which can lead to significant inventory yield improvements for publishers and higher win rates for ad buyers. Our ability to accurately predict and monetize high value impressions also allows us to operate more efficiently, due to the fact that the cost of processing low-value impressions and high-value impressions are approximately the same. Our algorithms, such as for impression throttling, deploy a variety of means to optimize traffic sent to DSPs, agencies, and advertisers.</w:t>
      </w:r>
    </w:p>
    <w:p>
      <w:pPr>
        <w:spacing w:after="0" w:line="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Compliance: </w:t>
      </w:r>
      <w:r>
        <w:rPr>
          <w:rFonts w:ascii="Times New Roman" w:cs="Times New Roman" w:eastAsia="Times New Roman" w:hAnsi="Times New Roman"/>
          <w:sz w:val="18"/>
          <w:szCs w:val="18"/>
          <w:color w:val="auto"/>
        </w:rPr>
        <w:t>A growing set of privacy regulations have introduced complexity regarding the collection, use, and transmission of consumer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to the digital advertising ecosystem. Most notably, these include the General Data Protection Regulation (the “GDPR”) which took effect in the European Union in May 2018, and the California Consumer Privacy Act (the “CCPA”) which took effect in January 2020 and was later amended by the California Privacy Rights Act (the “CPRA”), with those amendments taking effect in January 2023. The GDPR and the CCPA, as well as other global and U.S. state consumer privacy laws and regulations, have created a compliance burden for advertisers, publishers, and their partners to navigate. The advertising industry has developed a number of the technical and policy solutions to create standards for compliance, such as the Interactive Advertising Bureau (the “IAB”) Transparency Consent Framework (“TCF”).</w:t>
      </w:r>
    </w:p>
    <w:p>
      <w:pPr>
        <w:spacing w:after="0" w:line="7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a number of technology innovations, process enhancements, and industry solutions in response to our publishers’ increased obligations. Through the TCF and other frameworks, we can identify and pass user consent parameters, and opt-in or opt-out as applicable, in a bid request. We are also able to evaluate whether such consents apply to our various demand partners, such as DSPs and agencies.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We designed our platform using a flexible, service-oriented architecture in order to facilitate rapid development of new solutions, to meet evolving industry demands, and to support new use cases and new ad formats. Our agile development process and flexible, service-oriented architecture empower our development teams to routinely convert a requirement into working software within a typical time frame of two weeks or less.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our solution as a complete, unified offering for publishers who want a simple, efficient and comprehensive solution. We also offer modular access to our platform via rich application programming interfaces and a mobile software developer kit for mobile applications (“SDK”), for publishers who wish to integrate with or extend the platform or develop new business models and custom advertising solutions.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key benefits of our platform to publishers and buyers include:</w:t>
      </w:r>
    </w:p>
    <w:p>
      <w:pPr>
        <w:spacing w:after="0" w:line="117"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Our specialized cloud infrastructure is designed for the rapid and efficient processing of real-time, programmatic ad transactions and the aggregation and analysis of the significant data accompanying each transaction. The hundreds of billions of ad impressions and trillion advertiser bids that we process every day generate enormous volumes of data that we harness to drive higher revenue for our publishers and increased ROI for our buyers.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We provide log-level data to buyers and provide transparency on every ad impression, which gives buyers full control over which publishers, ad formats, and specific ad impressions on which they would like to bid.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 in Quality Controls: We have developed a multi-pronged strategy to create a high-quality marketplace beginning with high quality publisher selection, supported by proprietary and third-party fraud detection software, manual review, timely fraud investigations, and a fraud-free program in which buyers are credited for any fraudulent inventory they may have purchased on our platform.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Driven Decisions: We leverage our artificial intelligence and machine learning capabilities to record, aggregate, analyze, and act on vast amounts of data in a matter of milliseconds to help our customers optimize their digital advertising businesses in real-time. This data includes first party customer owned audience data, ad impression and bid request data, and advertiser bid response data. We flow all of this data through our machine learning platform in order to run thousands of algorithmic iterations on trillions of data points per month. These capabilities improve long term marketplace liquidity resulting in increased publisher revenue and higher advertiser ROI.</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Self-Serve: Our cloud infrastructure solutions are available via self-serve to publishers and buyers, including an easy-to-use customer user interface and a set of application programming interfaces that allow our publisher customers to configure new inventory, extend into new geographies or ad formats, review reporting insights, and manage and track payments and billing cycles.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Our technology platform provides extensive reporting capabilities to both buyers and publishers via application programming interfaces for direct integration into a customer’s reporting systems. Publishers are able to review performance, monitor key performance indicators (“KPIs”), and make adjustments to their set up and optimization in real time. Buyers have access to campaign insight data to facilitate testing and adaptation toward maximizing ROI. Detailed performance by ad format, channels, and ad sizes allows for optimization to achieve maximum ROI.</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primarily deploy a self-service model and focus our sales and marketing efforts on supporting, advising, and training our publishers to optimize their usage of our platform. We employ a nimble in-market sales team with expertise in programmatic advertising to attract premium publishers to our platform. We have dedicated teams focused on new publisher acquisition and existing publisher relationship management. New publishers on our platform work closely with our Customer Success team, which handles on-boarding and providing support throughout the publisher relationship life cycle. Our Customer Success team is organized and specialized by type of ad format and device and is trained to both maximize the number of integrations with each publisher and deploy the value-added solutions that we provide.</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Similarly, we have teams focused on new business acquisition and existing partner retention and expansion for advertisers, agencies, and DSPs. These teams focus on onboarding new partners and increasing spend across a variety of ad formats, devices, and geographies.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marketing team is focused on achieving thought leadership, educating customers on how to harness programmatic advertising to improve their business, guiding buyers on how to maximize ROI via the PubMatic cloud infrastructure, supporting our sales team, generating new leads, and increasing awareness for our brand.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the proliferation of media across platforms, transaction speed, increased costs, transparency, and regulatory requirements. To address these issues at scale for both publishers and buyers, we provide specialized software and hardware infrastructure to optimally power technology-driven transactions. We compete with other large SSPs, smaller private SSPs in markets around the world, and divisions of larger technology companies.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there is direct competition, our cloud infrastructure is interoperable with the major header bidding software frameworks including open source Prebid, Google’s Open Bidding, Amazon’s Transparent Ad Marketplace, and others.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also demonstrated an ability to extend our header bidding infrastructure into a variety of higher-growth ad formats such as mobile web, mobile app, digital video, and most recently OTT/CTV.</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specialized platform and cloud infrastructure enable us to compete favorably on the factors described above. In addition, we believe that new market entrants would find it difficult to gain direct access to publishers and ad buyers given their limited scale and face significant costs to integrate with publishers and ad buyers and comply with evolving regulatory requirements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protection of our technology and intellectual property is an important component of our success. We protect our intellectual property rights by relying on federal and state statutory and common law rights, foreign laws where applicable, and contractual restrictions. We seek to control access to our proprietary technology by entering into non-disclosure agreements with third parties and disclosure and invention assignment agreements with our employees and contractors.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consider our trademarks, patents, copyrights, trade secrets, and other intellectual property rights to be, in the aggregate, material to our business. We currently own two issued U.S. patents, expiring in 2034, relating to online advertising and auction techniques. We also own one issued Japanese patent. We also own trademark registrations and applications for the “PubMatic” name and variants thereof and other product-related marks in the United States and certain foreign countries. We have also registered numerous Internet domain names related to our business. We believe our platform would be difficult, time consuming, and costly to replicate.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governing privacy and the transmission, collection, and use of personal data. Interest-based advertising, or the use of data to draw inferences about a consumer’s interests and deliver relevant advertising to that consumer, has come under increasing scrutiny by legislatures, regulatory agencies, and self-regulatory bodies, privacy advocates, academics, and commercial interests in the United States and abroad that focus on data protection and consumer privacy. In particular, much of this scrutiny has focused on the use of cookies and other tracking technologies that collect or aggregate information about consumers’ online browsing and mobile app usage activity. Because both our company and our publishers rely upon large volumes of such data collected primarily through cookies and other tracking technologies, it is essential that we monitor legal requirements and other developments in this area, domestically and globally, maintain a robust privacy and security compliance program, and engage in responsible privacy practices, including providing consumers with notice of the types of data we collect, how we collect it, with whom we share it, how we use that data to provide our solutions, and the applicable choices we offer consumers.</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provide notice through our privacy policies and notices, which can be found on our website at www.pubmatic.com. We do not collect information, such as names, addresses or telephone phone numbers, for providing our advertising services that are directly identifying of the underlying individual. We take steps not to collect and store such information (although on occasion, our publishers voluntarily share information of their consumers with us and in such circumstances, we require the publishers to have obtained all necessary consents for such sharing). Our advertising and reporting rely on information that does not, on its own, directly reveal the identity of the underlying individuals (and we do not attempt to associate this information with other information that can identify such individuals). We typically do collect and store IP addresses, geo-location information, and device identifiers that are considered personal data or personal information under the privacy laws of some jurisdictions or otherwise may be the subject of current or future data privacy legislation or regulation. The definition of personally identifiable information, personal information, or personal data, varies by jurisdiction and continues to evolve in ways that may require us to adapt our practices to avoid violating laws or regulations related to the collection, storage, and use of consumer data. As a result, our technology platform and business practices must be assessed regularly against a continuously evolving legal and regulatory landscape, and we have adopted data minimization practices that mitigate our compliance risks.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provided by children under the age of 13 by child-directed websites or online services, such as apps, directed to children or any website if the collection of such data is known to the website or app operator. We have taken various steps to implement a system in which our publishers are contractually obligated to either flag or notify us in writing of child-directed websites. When websites are flagged, or we receive notice of such websites, we do not collect personal information, as defined by COPPA, including cookie identifiers that can recognize the same consumer across multiple sites over time, or location information more specific than street and city, on such websites or online services.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our compliance with our privacy policy and our general consumer data privacy and security practices are subject to review by the Federal Trade Commission, which may bring enforcement actions to challenge allegedly unfair and deceptive trade practices, including the violation of privacy policies and representations or material omissions therein.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State Attorneys General in the United States may also bring enforcement actions based on comparable state laws or federal laws that permit state-level enforcement. In California, for example, the Attorney General of the newly created California Privacy Protection Agency (“CPPA”, which is charged with CCPA rule-making and enforcement) may bring regulatory actions for violations of the CCPA. We have registered as a data broker in California with the California Attorney General. . We have also adopted the IAB CCPA Compliance Framework, which includes a technical specification to identify consumer signals to opt-out of sale of their data, and have signed the IAB Limited Service Provider Agreement that imposes service provider obligations for certain opted-out bid requests. These IAB frameworks are designed to facilitate compliance with the CCPA although neither the California Attorney General’s office nor the CPPA has yet approved such frameworks. The CCPA and CPRA set forth high potential liabilities for data privacy violations on a per-record basis, and the industry faces an uncertain compliance burden as our partners and publishers work to become compliant with the law. Adding further complexity in California, the CPRA imposed additional data protection obligations on companies doing business in California, including additional consumer rights processes and opt-outs for certain uses of sensitive data and sharing of personal data. Likewise, several U.S. state laws took effect in 2023: Virginia enacted the Consumer Data Protection Act (“CDPA”), Connecticut enacted the Connecticut Data Privacy Act (“CTDPA”), Colorado enacted the Colorado Privacy Act (“CPA”), and Utah enacted the Utah Consumer Privacy Act (“UCPA”), which impose consumer rights processes and requires user consent for certain types of sensitive data. Additional state privacy laws have been enacted and are set to take effect between 2024 and 2026: the Florida Digital Bill of Rights (July 1, 2024), Oregon’s protections for the personal data of consumer enacted through SB 619 (July 1, 2024), the Texas Data Privacy and Security Act (July 1, 2024), Montana’s Consumer Data Privacy Act (October 1, 2024), the Delaware Personal Data Privacy Act (January 1, 2025), Iowa’s Consumer Data Protection Act (January 1, 2025), the New Jersey Senate Bill 332 (January 15, 2025), the Tennessee Information Protection Act (July 1, 2025) and the Indiana Consumer Data Protection Act (January 1, 2026). These laws also set forth high potential liabilities for data privacy violations, including on a per-record basis, and the industry faces an uncertain compliance burden as our partners and publishers work to become compliant with these laws in the future.</w:t>
      </w:r>
    </w:p>
    <w:p>
      <w:pPr>
        <w:spacing w:after="0" w:line="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Outside of the United States, our privacy and data practices are subject to regulation by data protection authorities and other regulators in the countries in which we do business. The use and transfer of personal data in member states of the European Union is currently governed under the GDPR, which grants additional rights to consumers about their data, such as deletion and portability, and generally prohibits the transfer of personal data of EU subjects outside of the EU, unless the party exporting the data from the EU implements a compliance mechanism designed to ensure that the receiving party will adequately protect such data. We had relied on the EU-U.S. Privacy Shield framework (“Privacy Shield Framework”), to transfer personal data of EU subjects to the United States, but the Privacy Shield Framework was declared invalid by the Court of Justice of the European Union (“CJEU”) on July 16, 2020. In October 2022, the Biden administration negotiated new privacy transfer terms with EU regulators, and signed an Executive Order directing the steps the United States would take to implement its commitments to an EU/U.S. Data Privacy Framework. On July 10, 2023, the European Commission adopted an adequacy decision for the EU-U.S. Data Privacy Framework, and in October 2023 we self-certified to comply with the EU-U.S. Data Privacy Framework, the UK Extension to the EU-U.S. Data Privacy Framework, and the Swiss-U.S. Data Privacy Framework as a mechanism to legally facilitate personal data transfers from the EU, the U.K., and Switzerland to the U.S. This new Data Privacy Framework could be subject to legal challenge in front of the CJEU, specifically by Max Schrems, who successfully litigated to invalidate the Privacy Shield in 2020 and has indicated that he will legally challenge these new frameworks.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Related to cross-border transfers, in its July 16, 2020 decision, while the CJEU upheld the adequacy of the standard contractual clauses (a standard form of contract approved and promulgated by the European Commission as an adequate personal data transfer mechanism and potential alternative to the then-invalidated Privacy Shield Framework), it made clear that reliance on them alone may not necessarily be sufficient in all circumstances and cast doubt on their future use. Use of the standard contractual clauses must now be assessed on a case-by-case basis taking into account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GDPR, as originally implement by the respective EU members states and later adopted by the U.K. following Brexit (the “UK GDPR”), sets out higher potential liabilities for certain data protection violations, which may result in fines up to the greater of €20 million or 4% of an enterprise’s global annual revenue. Additionally, the UK GDPR will also have the ability to fine up to the greater of £17.5 million or 4% of global turnover. Further, the EU is currently in discussions to replace the ePrivacy Directive (commonly called the “Cookie Directive”) with the ePrivacy Regulation that governs the use of technologies that collect, access, and store consumer information and may create additional compliance burdens for us in Europe.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jurisdictions have enacted legislation that closely tracks the concepts, obligations, and consumer rights described in the GDPR, including Brazil’s General Data Protection law and Thailand’s Personal Data Protection Act. Some jurisdictions, including Russia and China, have in recent years enacted data localization laws, which require any personal information of citizens of those jurisdictions to be stored and processed on servers located in those jurisdictions. Such laws are gaining momentum and are being enforced by local authorities.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Beyond laws and regulations, we are also members of self-regulatory bodies that impose additional requirements related to the collection, use, and disclosure of consumer data, including the IAB, the Digital Advertising Alliance, and the NAI. Under the requirements of these self-regulatory bodies, in addition to other compliance obligations, we provide consumers with notice via our privacy policies about our use of cookies and other technologies to collect consumer data, our collection and use of consumer data to deliver interest-based advertisements, and consumers’ opt-out choices. We also allow consumers to opt-out from the use of data we collect for purposes of interest-based advertising through mechanisms described in our privacy policies available on our website. Some of these self-regulatory bodies have the ability to discipline members or participants, which could result in penalties and cause reputational harm. Additionally, some of these bodies might refer violations of their requirements to the Federal Trade Commission or other regulators.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and Culture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culture and our team are our most important asset in building and expanding our business. Our team identifies new problems to solve, builds solutions, optimizes and extends our infrastructure, and acquires and serves our customers. We believe that strong and diverse customer teams deepen customer relationships, promote innovation, and increase productivity.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people strategy revolves around creating employee experiences that foster deep employee engagement built upon personal development and achievement that is supported by continuous feedback, learning, and team building. Our workplaces have been recognized as a Great Place to Work in the United States, India, Asia, and Europe.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achieved these results by delivering custom learning programs and creating opportunities for advancement that align with the dynamic needs of our business.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 sponsored opportunities to give back to the communities in which they work and live.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committed to being inclusive in our hiring practices, promotion practices, and management practices as a means of ensuring equal opportunity for all employees as we continue to diversify our workforce. The diversity of our workforce has been publicly documented since 2017 with our annual Diversity &amp; Inclusion Report. Execution of this plan is overseen in part by our Diversity &amp; Inclusion Committee. The plan has a global focus that takes into consideration regional cultural differences to provide interactive employee experiences that drive continuous support for inclusion throughout our organization.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has always been our goal to attract and retain the best talent in the industry and our inclusive recruiting process includes finding those candidates that best add to our company mission, values, and cultural principles. These three guiding elements form a social contract between employees as well as set expectations for the common behaviors we can expect from each other and inform how we treat our customers. They are infused in every aspect of our business, from employee experience and workplace culture to marketing strategies and customer success.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Values:</w:t>
      </w:r>
    </w:p>
    <w:p>
      <w:pPr>
        <w:spacing w:after="0" w:line="8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put the customer first.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biased towards action.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leaders and innovators.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integrity.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celebrate teamwork.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Cultural Principles:</w:t>
      </w:r>
    </w:p>
    <w:p>
      <w:pPr>
        <w:spacing w:after="0" w:line="8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empower every individual team member and treat each other as partners.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make having fun a priority.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hire and retain the best talent.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communicate internally with honesty, transparency, and authenticity, including positive and negative information.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encourage diversity and inclusion of ideas and people, creating a high-trust and high-performance workplace.</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had 948 employees, of whom 290 were located in the United States, 537 in India, and 121 in our other offices around the world.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were incorporated in the State of Delaware in 2006.</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internet address is www.pubmatic.com. We file Annual Reports on Form 10-K, Quarterly Reports on Form 10-Q, Current Reports on Form 8-K, proxy statements and related amendments, exhibits and other information with the Securities and Exchange Commission (the “SEC”). You may access and read our filings without charge through the SEC’s website at www.sec.gov or through our website at https://investors.pubmatic.com, as soon as reasonably practicable after such materials are electronically filed with or furnished to the SEC pursuant to Section 13(a) or 15(d) of the Exchange Act.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Website addresses referred to in this Annual Report on Form 10-K are not intended to function as hyperlinks, and the information contained on or available through our website is not incorporated into, and does not form a part of this Annual Report on Form 10-K or any other report or documents we file with or furnish to the SEC.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our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Results of Operations and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results of operations are highly dependent on the overall demand for advertising.</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publishers and buyers. In 2023, macroeconomic factors such as inflation, rising interest rates and softening demand in certain verticals caused some advertisers to reduce their advertising budgets. Such macroeconomic factors, as well as broader economic downturns, recessions, inflation, further changes in interest rates or foreign exchange rates or any supply chain disruptions, changes in the tax treatment of advertising expenses, or general uncertainty, in North America, Europe, and Asia, where we do most of our business; could adversely affect our business, results of operations, and financial condition. In addition, the conflicts in Ukraine and Israel could cause unpredictable economic effects in Europe and EMEA, including potentially softening general consumer demand. Such conflicts have increased costs of labor and other items impacting our cost of revenue, and these conflicts and potential others may do so in the future. Reductions in overall advertising spending due to these factors could make it difficult to predict our revenue and could adversely affect our business, results of operations, and financial condition.</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or other advantages stemming from their broader experience in the market. We must continue to adapt and improve our technology to compete effectively, and customers have not always embraced our offerings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make technological or financial demands that we are unable or unwilling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generally do not have minimum commitments from publishers. As a result, the amount, quality, and cost of ad impressions available to us can change at any time with little or no prior notice, and we cannot assure you that we will have access to a consistent volume or quality of ad impressions at a reasonable cost, or at all. We depend upon a relatively small number of premium publishers and channel partners and expect to continue to do so for the foreseeable future. To support our continued growth, we seek to add additional publishers and buyers to our platform and to expand current utilization with our existing publishers and buyers. Any disruptions in our relationships with premium publishers, buyers, or our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limited number of large demand side platforms (“DSPs”) – The Trade Desk and Google DV360 in particular – account for a significant portion of the ad impressions purchased on our platform. We depend upon these DSPs for a large percentage of impressions purchased and expect to do so for the foreseeable future. We have no minimum commitments from buyers to spend on our platform, so the amount of demand available to us can change at any time with little or no prior notice, and we cannot assure you that we will have access to a consistent volume or quality of ad campaigns or demand for our ad impressions at a reasonable price, or at all. Any disruptions in our relationships with DSPs, agencies, advertisers, or buyers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are continuing to enhance such channels. We may not be able to accurately predict changes in overall advertiser demand for the channels in which we operate and cannot assure you that our investment in formats will correspond to any such changes or shifts in demand.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and may not meet our expectations or those of securities analysts and investors.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prolonged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pricing for ad impressions sold on our platform;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access to valuable ad impressions from publishers;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evolving industry standards and government regulations that impact our business, particularly in the areas of data protection and consumer privacy;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maintaining, and expanding relationships with publishers, DSPs, agencies, advertisers, and buyers;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developing new solutions that are adopted by and meet the needs of publishers, DSPs, agencies, advertisers, and buyers;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against companies with a larger customer base or greater financial or technical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buying and selling of ad impressions;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policies of publishers and competitors;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due to changes in macroeconomic environment, including as a result of an economic downturn, recession, inflation, changes in interest rates or foreign exchange rates, disruptions to supply chains, or otherwise;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expanding our business internationally;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integrating, and retaining qualified and motivated employees, particularly engineers.</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results of operations. You should not rely on our past results as an indicator of our future performance.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make the right investment decisions in our platform, or if we fail to innovate and develop new solutions that are adopted by publishers, we may not attract and retain publishers and buyers, which could adversely affect our business, results of operations, and financial condition.</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a rapidly changing regulatory environment. Our platform is complex and new solutions can require a significant investment of time and resources to develop, test, introduce, and enhance. These activities can take longer than we expect and may require the hiring of employees or contractors with new skill sets, which we may not be able to do in a cost-effective manner or at all. Moreover, we may not make the right decisions regarding these investments. For example, we recently launched two new products, Activate and Convert, which may not be widely adopted or result in incremental value. New formats and channels, such as mobile header bidding and CTV, present unique challenges that we must address to succeed. Our success in new formats and channels depends upon our ability to integrate our platform with these new formats and channels. If our mobile, video, or CTV solutions are not widely adopted by publishers and buyers, we may not retain such publishers and buyers.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and regulatory environment, anticipate publisher and buyer demand, or attract and retain publishers and buyers would cause our revenue or revenue growth rate to decline, and adversely affect our business, results of operations, and financial condition.</w:t>
      </w:r>
    </w:p>
    <w:p>
      <w:pPr>
        <w:spacing w:after="0" w:line="13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scale our platform infrastructure to support anticipated growth and transaction volume. If we fail to do so, or doing so becomes too costly, we may limit our ability to process ad impressions, and we may lose revenue.</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on processing advertising impressions in milliseconds, and we must handle an increasingly large volume of such transactions. The demands on our platform infrastructure have increased over time due to, among other factors, the addition of new solutions, such as our Activate or Convert offerings, the need to support evolving advertising formats, the handling and increased use of large amounts of data, and overall growth in impressions. Expanding our platform infrastructure and the number of ad impressions we can process requires resource commitment over a period of months or years, and we may not be able to scale quickly enough if demand increases rapidly as short-term solutions may be too costly or unavailable. If we are unable to grow our platform to support substantial increases in the number of transactions and in the amount of data we process, on a high-performance, cost-effective basis, or we are slow in growing our infrastructure compared to demand,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provide new or expanded offerings may not be successful, or we may not be able to scale our offerings to meet demand in a timely manner, and, as a result, we may not realize a return from our investments.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there is significant and growing demand for our offerings and those we are developing, and we are making significant investments to meet that demand and grow our market share. That demand may not materialize and, even if it does so, we may not be able to take advantage of that increased demand if we cannot scale our offerings in a timely manner or if the demand for one of our offerings cannibalizes the demand for other products we offer. In some cases, we have experienced fee pressure as we have built out our offerings, and we expect this fee pressure to increase as more competitors, including new entrants as well as publishers themselves, build their own technology and infrastructure to enter the markets in which we do business. Even if the market for these offerings develops as we anticipate, publishers and buyers might not embrace our offerings to the degree we expect due to various factors such as inertia from usage of existing implementations of competitive products. While continued investment in and use of our products has allowed us to achieve efficiencies, the investment cost to gain such efficiencies may grow over time, especially with our existing products which may be closer to technical and economic maturity, and the potential expansion of our business or offerings may increase regulatory scrutiny of our company. Additionally, even if publishers and buyers embrace our new or expanded offerings, the positive effect of these new or expanded offerings on our results of operations may be offset or negated if such adoption cannibalizes business from our existing solutions, if we are unable to scale our offerings to keep up with demand, if we are unable to hire or retain personnel with the requisite skills and experience related to our new or expanded offerings, if publishers and buyers prefer similar offerings from our competitors, or by other adverse developments.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Data Collection and the Use of Collected Data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buyers, third-party data providers,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advertising through our platform less valuable and decrease our revenue as advertising budgets may be decreased or directed to alternatives that don’t rely on cookies, mobile device identifiers, and other tracking technology data.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may not be available to us or could be time consuming or costly to develop, less effective, and subject to additional regulation.</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Mobile devices using Android and iOS operating systems limit the ability of cookies to track consumers while they are using applications other than their web browser on the device. As a consequence, fewer of our or our publishers’ cookies may be set in browsers or be accessible in mobile devices, which adversely affects our business.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disabling of third-party cookies, and the potential of others to develop proprietary replacements for cookies, could adversely affect our business, results of operations, and financial condition.</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prominent technology companies, including Google, have also announced intentions to discontinue the use of third-party cookies, and to develop alternative methods and mechanisms for targeting advertisements. On January 4, 2024, Google disabled third-party cookies for up to 1% of Chrome users and has announced plans to disable cookies for additional users beginning in the third quarter of 2024. If companies are forced to rely on targeting methodologies other than cookies, such companies may instead rely on proprietary products, algorithms, or statistical methods to track consumers without cookies, or may utilize log-in credentials entered by consumers into other web properties owned by those companies such as their email services to track web usage, including usage across multiple devices.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such companies may build different and potentially proprietary consumer tracking methods into their widely used web browsers, which we may not be able to effectively use for our publishers and buyers. Many applications and other devices also allow consumers to avoid receiving advertisements by paying for subscriptions or other downloads. Although we believe our platform is well-positioned to adapt and continue to provide key data insights to our publishers without cookies, this transition could be more disruptive, slower, or more expensive than we currently anticipate, or publishers and buyers could elect to move a larger proportion of their advertising inventory or spend to these providers to take advantage of proprietary consumer tracking methods, any of which could materially affect our ability to serve our customers, publishers, and buyers, and our business, results of operations, and financial condition could be adversely affected.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directly identify the individual, but includes pseudonymous identifiers and data regarding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collect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and is subject to a rapidly evolving regulatory framework that is not always consistent across geographies and jurisdictions. Evolving and conflicting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we do not generally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If publishers, buyers, or data providers do not follow the applicable requirements and processes or otherwise fail to secure any legally-required consents or provide required notice and choice mechanisms, which can be difficult given the rapidly evolving regulatory consent frameworks being promulgated, we could be subject to fines and liability. Additionally, if our data, privacy, or consent practices are found to be inadequate, or we make errors in the deployment of existing and future policies or safeguards, we may be subject to regulatory action. We may not have adequate insurance or contractual indemnity arrangements to protect us against any such fines, penalties, claims, and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the Advertising Industry and Competition</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digital advertising ecosystem is competitive and complex due to a variety of factors. While programmatic header bidding and other digital advertising has enabled the purchasing and selling of vast amounts of digital advertising inventory, there are significant challenges related to proliferation of media across platforms, including maintaining competitive transaction speed, increased costs, transparency, and evolving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competitors have greater financial, technical, sales, and marketing resources, longer operating histories, and greater name recognition.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be able to provide. Some of our competitors may also choose to sell products or services competitive to ours at lower prices by accepting lower margins and profitability, or they may be able to sell competitive products or services at lower prices given proprietary ownership of data, technical superiority, or economies of scale. The introduction of competitive products, pricing strategies, or other technologies by our competitors that are superior to or that achieve greater market acceptance than our products and services could adversely affect our business.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experience requests from publishers and buyers for discounts, fee concessions, rebates,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of our competitors are also able or willing to agree to contract terms that expose them to risks that might be more appropriately allocated to publishers or buyers (including inventory risk and the risk of having to pay publishers for unsold advertising impressions, among others), and in order to compete effectively we might need to accommodate risks that could be costly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when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has also been rapid evolution and consolidation in the advertising technology industry, and we expect these trends to continue, increasing the capabilities and competitive posture of larger companies, particularly those that already are dominant or have a greater market share than us, and enabling new or stronger competitors to emerge. Many publishers and buyers are large, consolidated organizations that may need to acquire other companies in order to grow. Smaller publishers and buyers may need to consolidate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 may reduce our revenue per impression.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revenue can be affected by market changes, new demands by publishers and buyers, new solutions, and competitive pressure. Our solutions may be priced too high or too low, or our pricing approaches may not be accepted, any of which may carry adverse consequences to our business and results of operations. We may receive requests from publishers for discounts, fee revisions, rebates, and refunds, or from DSPs, agencies and advertisers for volume discounts, fee revisions, and rebates. Any of these pressures from publishers or buyers can adversely affect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fluctuations or market changes in digital advertising activity could adversely affect our business, results of operations, and financial condition.</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revenue, net cash provided by operating activities, results of operations, and other key operating and performance metrics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Google’s announced intent to further deactivate cookies in the third and fourth quarter of 2024 could cause disruption to our business during a time when we typically expect to generate a disproportionate amount of our revenue, which could adversely affect our business, results of operations, and financial condition. In addition, adverse economic conditions, inflation, changes in foreign exchange rates or interest rates,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including, for example, as a result of Google’s deactivation of cookies or other similar events, our business, results of operations, and financial condition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our systems and the devices of our publishers and their consumers in order to misappropriate information, generate fraudulent billings,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quickly or at all. Further, perpetrators of fraudulent impressions and malware frequently change their tactics and can become more sophisticated over time, requiring both us and third parties to improve processes for assessing the quality of publisher inventory and controlling fraudulent activity. If we fail to timely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retain key members of our management team, and on our ability to hire, train, retain, and motivate new employees.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Further, as our business grows and we introduce new offerings, we may need to hire employees with skills and experience that we have not historically required.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increase employee turnover or reduce our ability to innovate, create, and operate effectively.</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if DSP buyers dispute or do not pay their invoices, and if DSPs file for bankruptcy protection or there are any decreases in payments, it could adversely affect our reputation, business, results of operations, and financial condition.</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changes in foreign exchange rates or interest rates, disruptions to supply chains, pandemics, epidemics or other public health crises, and the resulting economic impacts, as many of our buyers are experiencing financial difficulties and liquidity constraints. Some DSPs have historically carried relatively high debt obligations, and the maturity of that debt or changes in interest rates may negatively impact the liquidity of those DSPs and their ability to timely pay us. In certain cases, buyers have been unable to timely make payments and we have suffered financial losses, including in June 2023 when MediaMath declared bankruptcy, which led us to record a bad debt expense of $5.7 million. While our contracts generally do not contain such exposure, there are certain agreements under which we may be responsible for the whole amount of contracted spending, whether or not ultimately paid by the buyer.</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a prolonged economic downturn or prolonged period of elevated interest rates may lead additional buyers to slow or default on payments or in some cases seek bankruptcy protection. We cannot assure you that we will not experience bad debt in the future, and write-offs for bad debt could adversely affect our business, results of operations, and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more strategic uses of that working capital.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costs and risks, and our continued international expansion may not be successful.</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spacing w:after="0" w:line="1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maintaining effective controls at foreign locations;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our platform and solutions to non-U.S. publishers’ preferences and customs;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other delays and difficulties in setting up foreign operations, including difficulties in hiring personnel with skill sets and experience that match our international expansion efforts;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and regulations, export and import control and economic sanctions,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data privacy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in some countries, including as a result of the conflicts in Ukraine and Israel;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of numerous taxing jurisdictions.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risks. These factors and others, and the costs associated with any failure to effectively manage risks and comply with local laws and regulations, could harm our ability to increase international revenues and, consequently, could adversely affect our business, results of operations, and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hiring and retaining engineering and management resources due to intense competition for such resources and resulting wage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exposure to changes in economic, health, security, and political conditions in India;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tax compliance in India.</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Accordingly, it may be harder in the future to achieve labor-related cost efficiencies that we have historically benefited from.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third-party data centers, the disruption of which could adversely affect our business, results of operations, and financial condition.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Increasing data center capacity requires physical plant expansion and the procurement of additional equipment, which can take a year or more to accomplish. Accordingly, if there is a rapid increase in our need for data center capacity, we may not be able to increase our capacity quickly enough to meet the needs of publishers or our business, which could adversely affect our business, results of operations, and financial condition.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and sophisticated, and could involve denial-of-service attacks or other maneuvers that have the effect of disrupting the availability of services on our platform.</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Additionally, we rely on third party software providers for the delivery of certain of our services and offerings, and a disruption to those providers, whether an outage, cybersecurity attack, or otherwise, could adversely affect our business, results of operations, and financial condition.</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example, changes to our solution have in the past caused errors in the measurements of transactions conducted through our platform, resulting in disputes raised by publishers. Errors or failures in our offerings, even if caused by the implementation of changes by publishers or partners to their systems, could also result in negative publicity, damage to our reputation, loss of or delay in market acceptance of our offerings,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business success depends upon our ability to offer high-quality inventory with appropriate viewability capabilities.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Maintaining high-quality inventory may become increasingly difficult with the advent of “deep fake” video and other media produced using artificial intelligence (“AI”). If we fail to maintain high quality controls for our publishers and partners, our business, results of operations, and financial condition could be adversely affected.</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may acquire or invest in other businesses, assets, or technologies that we believe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product or service offerings, administrative systems, and personnel of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key business relationships and reputation of the acquired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the acquisition or the activities of the acquired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the expected financial results related to an acquisition in a timely manner or at all;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forecast the impact of an acquisition;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effective controls, procedures, and policies for acquired businesses.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and we may not have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compliance by our publishers, buyers, data providers, and partners.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In such an event, consumers may look to PubMatic to recover any alleged damages as a result of publishers’ use of limitations or disclaimers of liability through their terms of use with consumers. Similarly, if such misconduct results in enforcement action by a regulatory body or other governmental authority, we could become involved in a potentially time-consuming and costly investigation or we could be subject to litigation or some form of sanction or penalty. We may not have adequate indemnity to protect us against, and our insurance policies, may not cover, such claims and losses.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February 2023, our board of directors authorized and approved the 2023 Repurchase Program pursuant to which we may repurchase up to $75.0 million in aggregate of shares of our Class A common stock, with the authorization to expire on December 31, 2024. On February 22, 2024, our board of directors authorized an increase to our share repurchase program for the repurchase of shares of our Class A common stock from $75.0 million to $175.0 million through December 31, 2025. As of December 31, 2023, we have repurchased approximately $59.3 million of our Class A common stock under the program. Although our board of directors has authorized the 2023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for example, rising interest rates, inflation, and the wars in Ukraine and Israel. The 2023 Repurchase Program may be modified, suspended, or terminated at any time, and we cannot guarantee that the 2023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 of catastrophic events such as pandemics, earthquakes, flooding, fire, and power outages, and to interruption by man-made problems such as acts of war and terrorism.</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conflicts in Ukraine, or Israel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and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operate our business and either directly or indirectly disrupt publishers’ and partners’ businesses, which could adversely affect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currently incorporate AI solutions into our specialized cloud software, including audience solutions, and these applications may become more important in our operations over time.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Additionally, AI applications generally state they do not use personal information or other classes of protected information, but we may not know the source of data used by an AI application and may inadvertently incorporate personal information, or data derived from personal information, in the course of using an AI application. The use of AI applications has resulted in, and may in the future result in, cybersecurity incidents that implicate the sensitive data of customers analyzed within such applications. Any such cybersecurity incidents related to our use of AI applications for analysis of sensitive data could adversely affect our reputation and results of operations. If we include portions of our proprietary information when using AI tools, that information may enter the public domain and we may lose the ability to protect such proprietary information. AI also presents emerging ethical issues and if our use of AI becomes controversial, we may experience brand or reputational harm, competitive harm, or legal liability. The rapid evolution of AI, including potential government regulation of AI and its various uses, will require significant resources to develop, test, and maintain our intelligence cloud platform, offerings, services, and features to help us implement AI ethically in order to minimize unintended, harmful impact.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 store, and process data about or related to consumers in addition to publisher, buyer, partner, employee, and services provider or vendor data. Our handling of this data is subject to numerous federal, state, and foreign laws and regulations that are constantly evolving and not always consistent across jurisdictions. We are also subject to regulation by various governmental authorities in addition to federal and state regulations. Our data handling is further subject to contractual obligations and may be deemed to be subject to industry standards and trade associations.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federal government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These regulatory regimes are constantly evolving and not always interpreted in a consistent manner.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framework for data privacy issues worldwide is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have been placed upon the collection, management, aggregation, and use of information, and compliance with those restrictions may require us to change how we collect, manage, aggregate, and use data in the future, which could result in a material increase in the</w:t>
      </w:r>
    </w:p>
    <w:p>
      <w:pPr>
        <w:spacing w:after="0" w:line="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collecting or otherwise obtaining certain kinds of data. These restrictions could further limit the ways in which we may use or disclose information, or may require us to make changes to our offerings, which could adversely affect our business, results of operations, and financial condition.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have come under increasing scrutiny by legislative, regulatory, and self-regulatory bodies in the United States and abroad that focus on consumer protection or data</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privacy. In addition, the steps taken by companies to de-identify personal data, to use and distribute the resulting data, including for purposes of personalization and the targeting of advertisements, have also been a frequent target of scrutiny by these authorities. Much of the related regulatory activity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governmental authorities, providers of Internet browsers have engaged in, or announced plans to continue or expand, efforts to provide increased visibility into, and certain controls over, cookies and similar technologies and the data collected using such technologies. For example, Google announced on January 4, 2024, that it was disabling third-party cookies for 1% of Chrome users with plans to disable third-party cookies for additional Chrome users in the latter half of the year.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the U.S. Congress and state legislatures, along with federal regulatory authorities have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California enacted the California Consumer Privacy Act (“CCPA”) which took effect in January 2020 and was later amended by the California Privacy Rights Act (“CPRA”), with those amendments taking effect in January 2023. The CCPA, as amended by the CPRA, is referred to as the “CCPA.” The CCPA created individual privacy rights for California residents, including rights of deletion and access, and increased the privacy and security obligations of businesses handling personal data. The CCPA is also still enforceable by the California Attorney General, and there is a CCPA private right of action relating to certain data security incidents. The CCPA generally requires covered businesses to, among other things, provide new disclosures to California consumers regarding the collection, use and disclosure of their personal information. The CCPA also affords California consumers new abilities to opt-out of certain sales of personal information, a concept that is defined broadly and is subject to evolving regulations promulgated initially by the California Attorney General, and now the California Privacy Protection Agency (“CPPA”), a newly created agency under the CPRA charged with CCPA rulemaking and enforcement.</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CPRA also imposed additional data protection obligations on companies doing business in California, including additional consumer rights processes and opt-outs for certain uses of sensitive data and “sharing” of personal information for cross-context behavioral advertising While new CCPA regulations have been introduced, enforcement of some have been initially delayed through court orders but such enforcement is expected to begin in March 2024. The effects of the CCPA, including from expected but not yet promulgated regulations, are potentially significant and may require us to modify our data collection or processing practices and policies and to incur substantial costs and expenses in an effort to comply, which will increase our potential exposure to regulatory enforcement and/or litigation. Decreased availability and increased costs of information due to implementing the CCPA, could adversely affect our ability to meet our customers’ requirements and could have an adverse effect on our business, results of operations, and financial condition.</w:t>
      </w:r>
    </w:p>
    <w:p>
      <w:pPr>
        <w:spacing w:after="0" w:line="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CCPA has encouraged “copycat” laws in other states across the country. Following California’s lead, several other states enacted privacy laws that took effect in 2023: the Colorado Privacy Act, the Connecticut Personal Data Privacy and Online Monitoring Act, the Utah Consumer Privacy Act, and the Virginia Consumer Data Protection Act. Additional state privacy laws in nine other states have been enacted and are set to take effect between 2024 and 2026: the Florida Digital Bill of Rights (July 1, 2024), Oregon’s protections for the personal data of consumer enacted through SB 619 (July 1, 2024), the Texas Data Privacy and Security Act (July 1, 2024), Montana’s Consumer Data Privacy Act (October 1, 2024), the Delaware Personal Data Privacy Act (January 1, 2025), Iowa’s Consumer Data Protection Act (January 1, 2025), the New Jersey Senate Bill 332 (January 15, 2025), the Tennessee Information Protection Act (July 1, 2025) and the Indiana Consumer Data Protection Act (January 1, 2026). Compliance with new privacy legislation adds complexity and may require investment in additional resources for compliance programs, thus potentially resulting in additional costs and expense of resources to maintain compliance. We cannot yet fully predict the impact of such state laws or subsequent guidance on our business or operations, but it may require us to further modify our data processing practices and policies and to incur substantial costs and expenses in an effort to comply. This new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Although it continues to be introduced as a bill in Congress each year, it remains to be seen whether the U.S. will implement federal consumer privacy legislation.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Europe, the GDPR took effect on May 25, 2018, and applies to products and services that we provide in Europe, as well as the processing of personal data of European Union (“EU”) citizens, wherever that processing occurs. The United Kingdom (“U.K.”) implemented the Data Protection Act, effective May 2018, and statutorily amended it in 2019 to contain provisions, including its own derogations, for how GDPR is applied in the U.K. post-Brexit (the “UK GDPR”). The GDPR includes operational requirements for companies that receive or process personal data of residents of the EU. For example, we are required to offer consent mechanisms to data subjects in Europe before processing data for certain aspects of our service. Failure to comply with GDPR may result in significant penalties for non-compliance of up to the greater of €20 million (£17.5 million in the U.K.)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European regulators continue to be focused on compliance with requirements in the online behavioral advertising ecosystem and enforcing national laws that implement the ePrivacy Directive (commonly called the “Cookie Directive”) in those ecosystems. Notably, discussions continue about replacing the ePrivacy Directive with an EU Regulation known as the ePrivacy Regulation which would significantly increase fines for non-compliance and impose burdensome requirements around obtaining consent. European court decisions and regulators’ recent guidance continue to drive increased attention to cookies and tracking technologies. As regulators start to enforce a stricter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IAB Europe previously collaborated with the digital advertising industry to create a user-facing framework (the Transparency and Control Framework, or “TCF”) for establishing and managing legal bases under the GDPR and other U.K. and EU privacy laws including the ePrivacy Directive. Although the TCF is actively in use, its viability as a compliance mechanism is under review by the Belgian Data Protection Authority (“DPA”) and others and we cannot predict its effectiveness over the long term. In February 2022, the Belgian DPA issued an order against IAB Europe that imposes specific remedies on IAB Europe and its operation of TCF. IAB Europe appealed the Belgian DPA’s decision, and recently, the Belgian Market Court issued an interim ruling on the appeal and referred preliminary questions to the CJEU for guidance. It is unclear whether the Belgian DPA will rule on the corrective action plan submitted by the IAB prior to a final judgement on the appeal. Further, other European regulators have questioned TCF’s viability and activists have filed complaints with regulators of alleged non-compliance by specific companies that employ the TCF.</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some countries, including India, Brazil, Thailand, and Japan, are considering or have passed legislation implementing data protection requirements or requiring local storage and processing of data or similar requirements that could increase the cost and complexity of delivering our services or force us to change business practices to conform to local law.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their related regulations and standards, are uncertain and sometimes contradictory across jurisdictions, it is possible that these laws, regulations and standards may be interpreted and applied in manners that are, or are asserted to be, inconsistent with our data management practices or the technological features of our solutions.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especially in light of the 2024 elections both in the United States and in foreign jurisdictions.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being imposed on us.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5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Some of our publishers may be unprepared to comply with evolving regulatory guidance under the CCPA, CPRA, GDPR, UK GDPR, or other privacy regulations, which may result in removing personal data from their inventory before passing it into the bid stream. This may lower their inventory, at least temporarily, resulting in loss of ad spend and revenue for us. Further, since we do not have direct relationships with end users, we rely on publishers to obtain such consents as required and may be subject to liability, including fines, lawsuits, and other penalties, if they fail to adhere to evolving consent requirements. While we can and do provide training and guidance on compliance, the nature of the digital advertising ecosystem and technology, without direct access to the end user, does not support 100% verification that consent from end users has been obtained, when required by applicable law or regulations, and we may inadvertently process personal data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compliance programs and integrate with multiple other parties in the ecosystem. Further, compliance program design and implementation will be an ongoing process as understanding of the CCPA, CPRA, GDPR, UK GDPR, increasing numbers of U.S. state privacy laws, or other emerging regulations and industry compliance standards, evolves and companies address sometimes conflicting compliance guidance. In addition to California, Colorado, Connecticut, Delaware, Florida, Indiana, Iowa, Montana, Nevada, New Jersey, Oregon, Tennessee, Texas, Utah, and Virginia have all enacted regulations that may apply to our business, and we expect more state legislatures or regulatory agencies to do the same. The resulting process friction could result in substantial inefficiency and loss of inventory and demand, as well as increased burdens upon our organization as we seek to assist customers and adapt our own technology and processes as necessary to comply with laws and regulations and adapt to industry practice. The uncertain regulatory environment caused by the CCPA, GDPR, UK GDPR, increasing numbers of U.S. state privacy laws, or other emerging regulations may disadvantage us in comparison to larger, integrated competitors such as Google and Meta (Facebook), which have greater compliance resources and can take advantage of their direct relationships with end users to secure consent directly from those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GDPR generally prohibits the transfer of personal data of EU subjects outside of the European Union to another country that the European Commission does not recognize as offering an adequate level of data protection unless a lawful data transfer mechanism has been implemented or a data transfer derogation applies. On July 16, 2020, in a case known as Schrems II, the Court of Justice of the European Union (the “CJEU”) ruled on the validity of two of the primary data transfer mechanisms.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first mechanism called the EU-US Privacy Shield operated by the U.S. Department of Commerce was declared invalid as a legal mechanism to transfer data from Europe to the United States in 2020. As a result, despite the fact that we certified our compliance to the EU-US Privacy Shield, our customers were no longer able to rely on this mechanism as a lawful means to transfer European data to us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was the case until October 2022, when the Biden administration negotiated new privacy transfer terms with EU regulators, and signed an Executive Order in October 2022 directing the steps the United States will take to implement its commitments to the EU/US data privacy framework. On July 10, 2023, the European Commission adopted an adequacy decision for the EU-U.S. Data Privacy Framework, and we have self-certified to comply with the EU - U.S. Data Privacy Framework, the UK Extension to the EU-U.S. Data Privacy Framework, and the Swiss-U.S. Data Privacy Framework as a mechanism to legally facilitate personal data transfers from the EU, the U.K., and Switzerland to the U.S. This new Data Privacy Framework could be subject to legal challenge in front of the CJEU, where non-governmental organizations successfully litigated to invalidate the Privacy Shield in 2020.</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second mechanism called the Standard Contractual Clauses (“SCCs”) is an alternative transfer measure that we also offer to our EU and UK customers for cross-border data transfers that was upheld as a valid legal mechanism for transnational data transfers by the CJEU. However, the ruling requires that European organizations seeking to rely on the SCCs to export data out of the European Union must ensure the data is protected to a standard that is “essentially equivalent” to that in the European Union, including, where necessary, by taking “supplementary measures” to protect the data. Although “supplementary measures” are not explicitly defined, it is possible that European data protection authorities may determine that there are no supplementary measures that can legitimize EU-US data transfers. For the time being, we will rely on the DPF and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further updated the SCCs to require additional information for cross-border data transfers. It remains possible that the SCCs may be later determined inadequate to cover our use of cookies and other tracking technologies placed directly on consumer’s browsers or devices through our publishers or buyers’ websites.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also need to continue to restructure our data export practices because of Brexit. Personal data may not be able to flow freely between the European Union and the United Kingdom, and our United Kingdom subsidiaries may need to enter into SCCs and adopt “supplementary measures” both with customers and other group entities, in order to ensure the continuing flow of data to and from the United Kingdom subsidiary. On June 28, 2021, the European Commission issued an adequacy decision for personal data transfers from the EEA to the U.K., with a sunset clause of four years, meaning that the European Commission will review and renew only if the European Commission considers that the U.K. continues to ensure an adequate level of data protection. Notably, the European Commission reserved a right to intervene at any time during the four-year adequacy period if the U.K. deviates from the level of protection then in place. If this adequacy decision is reversed by the European Commission, we would have to implement protection measures such as the SCCs for personal data transfers between the EU and the U.K. or find alternative solutions for the compliant transfer of personal data from the EU into the U.K. In March 2022, the U.K. Information Commissioner’s Office adopted an International Data Transfer Agreement (IDTA) for transfers of personal data out of the U.K. to so-called third countries, as well as an international data transfer addendum (U.K. SCC Addendum) that can be used with the SCCs for the same purpose.</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Depending on evolving legal developments, we may need to restructure our transfers of European data via another European subsidiary and have such entity enter into SCCs with other group entities and implement “supplementary measures” to ensure the continuing flow of data from the European Union to the United States. In the event that use of the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UK GDPR and could increase the cost and complexity of operating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collect, maintain, transmit and store data about consumers, employees, partners and others, including personal and other confidential information.</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higher transaction fees, or limit or terminate our access to certain payment methods. We and such third parties might not anticipate, prevent, or detect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can increase over time as the complexity and number of technical systems and applications we use also increases.</w:t>
      </w:r>
    </w:p>
    <w:p>
      <w:pPr>
        <w:spacing w:after="0" w:line="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on whom we rely or other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investigations, fines or penalties, and other potential liabilities. In the future, we or our third-party service providers may experience social engineering, ransomware, phishing, malware and similar attacks and threats of denial-of-service attacks and such attacks could have a material adverse effect on our operations and financial condition.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information, resulting in the perception that our systems are insecure.</w:t>
      </w:r>
    </w:p>
    <w:p>
      <w:pPr>
        <w:spacing w:after="0" w:line="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incidents, will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industry self-regulation could adversely affect our business, results of operations, and financial condition.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complying with government regulations, we participate in trade associations and industry self-regulatory groups such as the Interactive Advertising Bureau and the Networking Advertising Initiative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representations that we make regarding our adherence to self-regulatory standards could result in regulatory action if we fail to meet such representations. Any regulatory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regulations, and industry best practices, or any industry guidelines or codes with regard to privacy or the provision of Internet advertising, our reputation may suffer and we could lose market share or relationships with our publishers, buyers, or others.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and are constantly evolving in the United States, European Union, and other jurisdictions.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change our offerings or business activities and practices or modify our software, any of which could have an adverse effect on our business, results of operations,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limited ability to oversee and control the inventory of our channel partners or our failure to successfully comply may expose us to negative legal and business consequences, including civil or criminal penalties, governmental investigations, and reputational harm.</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certain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party claims if our publishers or buyers do not have sufficient rights to the content, technology, data, or other material associated with an ad impression that they provide, or if it infringes or is alleged to infringe the intellectual property rights of other parties. We may also face allegations that our employees have misappropriated or divulged the intellectual property of their former employers or other third parties. Regardless of whether claims that we are infringing on the intellectual property rights of others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Due to the cost of litigation, we may choose to enter into license agreements with third parties alleging infringement even when we do not believe our business, platform, or services infringe on third parties’ intellectual property rights. Results of intellectual property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upon a combination of trade secrets protections, third-party confidentiality and non-disclosure agreements, contractual restrictions on disclosure and use, and trademark, copyright, patent, and other intellectual property laws to establish and protect our proprietary technology and intellectual property rights. We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or products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guarantee that others will not independently develop technology with the same or similar functions to our proprietary technology that we rely on to conduct our business and differentiate ourselves from our competitors. Unauthorized parties may also attempt to copy or obtain and use our technology to develop applications with the same functionality as our offerings, and policing unauthorized use of our technology and intellectual property rights is difficult, time-consuming, and costly,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offerings) we may find ourselves at a competitive disadvantage to others who have not incurred the same level of expense, time, and effort to create and protect their intellectual property, which could adversely affect our business, results of operations, and financial condition.</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it is our policy to protect and defend our rights to our intellectual property, especially via trade secrets protections,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 agreements generally restrict the use of our confidential information solely to such customer’s use in connection with its use of our offerings. In spite of such limitations, reverse engineering our software and feature sets, or the theft or misuse of our confidential information, could occur by customers or other third parties who have access to our technology, and we may fail to detect such theft or misuse in a timely manner.</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such employees or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contractors end their relationship with us, and, in some cases, decide to work for our competitors. Enforceability of the non-compete agreements that we have in place is not guaranteed, and contractual restrictions could be breached without us becoming aware of such breach or adequate remedies available to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licenses to use the intellectual property rights of third parties to conduct our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harm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cost, effort, and time, and ultimately put us at a competitive disadvantage.</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platform to conditions we do not intend or requirements to disclose source code,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offerings on terms that are not economically feasible, to re-engineer our solution or the supporting computational infrastructure to discontinue use of code, or to make generally available, in source code form, portions of our proprietary code.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our ability to produce accurate financial statements and other disclosures on a timely basis could be impaired.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could have a negative effect on the trading price of our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operating and financial covenants that may restrict our business and financing activities.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had no outstanding borrowings under our Senior Secured Credit Facilities Credit Agreement (the “Credit Agreement”) with Silicon Valley Bank (“SVB”). 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dispositions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to repay our debt obligations when they become due and payable, either upon maturity or in the event of a default, it could negatively impact our ability to operate and continue our business as a going concern. Additionally, if we are unable to repay our debt obligations under the Credit Agreement, we may not be able to obtain additional future debt or equity financing on favorable terms, if at all, which could negatively impact our ability to operate and continue our business as a going concern.</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on March 10, 2023, SVB was closed by the California Department of Financial Protection and Innovation and subsequently appointed the Federal Deposit Insurance Corporation (“FDIC”) as receiver. Similarly, on March 12, 2023, Signature Bank and Silvergate Capital Corp. were each swept into receivership. While the FDIC has taken steps to make whole all depositors of SVB, there is no assurance that similar guarantees will be made in the event of further bank closures and continued instability in the global banking system. If other banks and financial institutions enter receivership or become insolvent in the future in response to financial conditions affecting the banking system and financial markets, then our ability to obtain financing may be threatened, which could have a material adverse effect on our business and financial condition. Moreover, events such as the closure of SVB, in addition to other global macroeconomic conditions, may cause further turbulence and uncertainty in the capital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U.S. and non-U.S. tax laws applicable to our business activities are subject to interpretation and change.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various jurisdictions have threatened to impose laws that tax specified digital services, which may increase our tax obligations in such jurisdictions. Many countries have adopted changes to their tax laws based on the model rules adopted by The Organization for Economic Cooperation and Development defining a 15% global minimum tax (commonly referred to as Pillar 2) that could increase our tax obligations in countries where we do business or cause us to change the way we operate our business.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have made and will continue to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changes could affect our effective tax rate and future profitability.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taxes in the United States, and we are subject to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 For example, the United States tax legislation commonly referred to as the Tax Cuts and Jobs Act of 2017 (the “Tax Act”) (as modified by the Coronavirus Aid, Relief, Economic Security Act, the Families First Coronavirus Response Act and the American Rescue Plan Act), significantly reformed the Internal Revenue Code of 1986, as amended, reducing U.S. federal tax rates, making sweeping changes to rules governing international business operations, and imposing significant additional limitations on tax benefits, including the deductibility of interest and the capitalization of research and development expenses. In addition, the Inflation Reduction Act of 2022 (the “Inflation Reduction Act”) imposes a 15% corporate alternative minimum tax and 1% excise tax on repurchases of corporate stock. We are currently evaluating the various provisions of the Inflation Reduction Act but do not anticipate it will have a material effect on the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proposals and enactments worldwide include changes to the existing framework in respect of income taxes, limitations on the ability of taxpayers to claim and utilize tax benefits, as well as new types of non-income taxes (such as taxes based on a percentage of revenue or taxes applicable to digital services). For example, the Organisation for Economic Co-operation and Development proposed introduction of the global minimum tax standard. Due to the large and expanding scale of our international business activities, these types of changes to the taxation of our activities could impact the tax treatment of our foreign earnings, increase our worldwide effective tax rate, increase the amount of taxes imposed on our business, and impact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Class A common stock has been and may continue to be volatile and could subject us to litigation.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72"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and trading volume of technology companies in general and of companies in the digital advertising industry in particular;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solutions or technologies, commercial relationships, acquisitions, or other events by us or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actual or anticipated changes or fluctuations in our results of operations or financial projections;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or future expectations of investors or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developments or actions, or litigation involving us, our industry, or both;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 or catastrophic events in our domestic and foreign markets.</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January 31, 2024, our directors and officers, and their respective affiliates, beneficially owned in the aggregate approximately 67.67%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4"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preferred stock without stockholder approval, which could be used to significantly dilute the ownership of a hostile acquirer;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our chief executive officer, our lead director, or a majority of our board;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amend the bylaws, which may allow it to take additional actions to prevent an unsolicited takeover and inhibit the ability of an acquirer;</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or to propose matters to be acted upon at a stockholders’ meeting;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the importance of maintaining the trust and confidence of our publishers, buyers, partners, customers, and employees. The Audit Committee of our Board (“Audit Committee”) is responsible for oversight of the Company’s cybersecurity function and efforts, and receives quarterly updates from management regarding the Company’s cybersecurity policies, standards, processes, and practices.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Our cybersecurity risk management program is overseen by our Senior Vice President, Infrastructure and Security (“SVP Security”), our executive management team, and our Board through the Audit Committee.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cross-functional cybersecurity program to identify, prevent, and mitigate cybersecurity threats and incidents. The program also includes implementing controls and procedures that provide for the prompt escalation of certain cybersecurity incidents so that decisions regarding the public disclosure and reporting of such incidents can be made by management in a timely manner.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Framework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cybersecurity efforts are governed by a set of policies to address data protection and security incident management, and overseen by our Security Incident Management Team (“SIMT”). Our policies are closely based on recognized frameworks established by the National Institute of Standards and Technology (“NIST”), the International Organization for Standardization (“ISO”) and other applicable industry standards, and we expect to review them at least annually. Our information technology standards and infrastructure safeguards include information security standards prescribed for use by NIST, security measures aligned with the ISO/IEC 27000 series of standards, the Sarbanes-Oxley Act and SSAE 18/ISAE 3402, privacy regulations compliance, and other generally recognized industry standards, in each case, designed to safeguard the confidentiality, integrity and availability of our infrastructure and data and the resiliency of our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these policies, we deploy technical safeguards that are designed to protect our information systems from cybersecurity threats, including firewalls, anti-malware functionality and access controls, which are evaluated and improved through vulnerability assessments and cybersecurity threat intelligence.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maintain a risk-based approach to identify and oversee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incident response and recovery plans and procedures that address our response to a known or potential cybersecurity incident, including in our systems and those that occur on third-party systems that we use. These plans and procedures include the notification and escalation processes, the investigation and containment process, the evaluation, review, and remediation process for a known or potential cybersecurity incident, and a process to assess the materiality of an incident.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incident response and recovery planning are overseen by the SIMT and Company personnel who become aware of an incident or potential incident are required to notify the SIMT. The SIMT is comprised of senior members of management and subject matter experts and is responsible for overseeing our cybersecurity program and our response to any cybersecurity incidents.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Periodic Review, Testing and Training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our policies, we perform periodic assessments and tests of the application of our policies, standards, processes, and practices that are designed to address cybersecurity threats and incidents. These efforts include a range of activities, including internal audits, assessments, threat modeling, vulnerability testing, and other exercises focused on evaluating the effectiveness of our cybersecurity measures and planning. We engage third parties to perform assessments on our cybersecurity measures as a component of our SOX compliance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provide regular, mandatory training for employees and contractors regarding cybersecurity threats as a means to equip our personnel with effective tools to address cybersecurity threats, including the detection and prevention of “phishing” and other attacks using social engineering, and to communicate our evolving information security policies, standards, processes, and practices.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in coordination with the Audit Committee, oversees our overall enterprise risk management (“ERM”) process, including the management of risks arising from cybersecurity threats and information security. The Audit Committee receives regular presentations and reports on cybersecurity risks, which address a wide range of topics including recent developments, evolving standards, vulnerability assessments, the threat environment, technological trends, and information security considerations arising with respect to our peers and third parties. Beginning in 2024, the Audit Committee will be provided updates on our process, procedures, policies and any cybersecurity incidents at least quarterly. In the event of a material incident, or incident that may be determined to be material, the Audit Committee is informed as soon as reasonably practical and provided regular updates by the SIMT.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will have the opportunity to discuss our approach to cybersecurity risk management with the SIMT.</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SIMT is responsible for preventing, detecting and responding to cybersecurity threats and incidents to the Company, and includes our Chief Executive Officer (“CEO”), SVP Security, Chief Financial Officer (“CFO”), Chief Marketing Officer, Chief Technology Officer (“CTO”), General Counsel, and other subject matter experts. The SIMT works collaboratively across the Company to implement a program designed to protect our information systems and offerings from cybersecurity threats and to promptly identify and respond to any cybersecurity incidents in accordance with our incident response and recovery plans. To facilitate the success of our cybersecurity risk management program, multidisciplinary teams are deployed to address cybersecurity threats and to respond to cybersecurity incidents. Through ongoing communications with these teams, the SVP, Security and the SIMT monitor the prevention, detection, mitigation, and remediation of cybersecurity threats and incidents, and report such threats and incidents to our Board and Audit Committee when appropriate.</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SIMT, together with other internal and external advisors, has developed a Security Incident Management Policy (“Security Policy”) and Cybersecurity Incident Management Process (“CIM Process”) to help guide our response to any potential cybersecurity incidents or threats. These documents are reviewed on a periodic basis by the SIMT, and the Audit Committee will be apprised of the SIMT’s actions and potential improvements to the Security Policy and CIM process.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SVP Security has a strong background in engineering with over 30 years’ of industry experience in technology and security, and previously operated one of the world’s largest retail websites instituting and undergoing PCI and HIPPA certifications.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Cybersecurity threats, including as a result of any previous cybersecurity incidents, have not materially affected us, including our business strategy, results of operations or financial condition. Cybersecurity threats, and their evolving nature, may pose a risk to us and our strategy, results of operations, and financial condition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lease office and data center space in various cities across North America, Europe and Asia Pacific. We believe that our facilities are adequate to meet our needs for the immediate future and that, should it be needed, we will be able to secure additional space to accommodate expansion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to our consolidated financial statements included elsewhere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began trading on the Nasdaq Global Market on December 9, 2020 under the symbol “PUBM.” Prior to that date, there was no public trading market for our Class A common stock. There is no public trading market for our Class B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2024, there were 99 holders of record of our Class A common stock and 78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may deem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repurchases of our Class A common stock during the three months ended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Approximate Dollar Value</w:t>
            </w:r>
          </w:p>
        </w:tc>
      </w:tr>
      <w:tr>
        <w:trPr>
          <w:trHeight w:val="216"/>
        </w:trPr>
        <w:tc>
          <w:tcPr>
            <w:tcW w:w="27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of Shares that May Yet Be</w:t>
            </w:r>
          </w:p>
        </w:tc>
      </w:tr>
      <w:tr>
        <w:trPr>
          <w:trHeight w:val="213"/>
        </w:trPr>
        <w:tc>
          <w:tcPr>
            <w:tcW w:w="27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Total Number of Shares</w:t>
            </w: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Average Price Paid Per</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Publicly Announced Plans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Purchased Under the Plans</w:t>
            </w:r>
          </w:p>
        </w:tc>
      </w:tr>
      <w:tr>
        <w:trPr>
          <w:trHeight w:val="265"/>
        </w:trPr>
        <w:tc>
          <w:tcPr>
            <w:tcW w:w="27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Period</w:t>
            </w:r>
          </w:p>
        </w:tc>
        <w:tc>
          <w:tcPr>
            <w:tcW w:w="19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Purchased</w:t>
            </w: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(2)</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or Programs</w:t>
            </w:r>
            <w:r>
              <w:rPr>
                <w:rFonts w:ascii="Times New Roman" w:cs="Times New Roman" w:eastAsia="Times New Roman" w:hAnsi="Times New Roman"/>
                <w:sz w:val="23"/>
                <w:szCs w:val="23"/>
                <w:color w:val="auto"/>
                <w:w w:val="95"/>
                <w:vertAlign w:val="superscript"/>
              </w:rPr>
              <w:t>(1)</w:t>
            </w:r>
          </w:p>
        </w:tc>
        <w:tc>
          <w:tcPr>
            <w:tcW w:w="420" w:type="dxa"/>
            <w:vAlign w:val="bottom"/>
            <w:shd w:val="clear" w:color="auto" w:fill="CCEEFF"/>
          </w:tcPr>
          <w:p>
            <w:pPr>
              <w:spacing w:after="0"/>
              <w:rPr>
                <w:sz w:val="23"/>
                <w:szCs w:val="23"/>
                <w:color w:val="auto"/>
              </w:rPr>
            </w:pPr>
          </w:p>
        </w:tc>
        <w:tc>
          <w:tcPr>
            <w:tcW w:w="17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5"/>
              </w:rPr>
              <w:t>or Programs</w:t>
            </w:r>
            <w:r>
              <w:rPr>
                <w:rFonts w:ascii="Times New Roman" w:cs="Times New Roman" w:eastAsia="Times New Roman" w:hAnsi="Times New Roman"/>
                <w:sz w:val="23"/>
                <w:szCs w:val="23"/>
                <w:color w:val="auto"/>
                <w:w w:val="95"/>
                <w:vertAlign w:val="superscript"/>
              </w:rPr>
              <w:t>(1)</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12.06</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616,300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28,465,793</w:t>
            </w:r>
          </w:p>
        </w:tc>
      </w:tr>
      <w:tr>
        <w:trPr>
          <w:trHeight w:val="27"/>
        </w:trPr>
        <w:tc>
          <w:tcPr>
            <w:tcW w:w="27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2023 - November 30,</w:t>
            </w: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15.93</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461,271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21,118,403</w:t>
            </w:r>
          </w:p>
        </w:tc>
      </w:tr>
      <w:tr>
        <w:trPr>
          <w:trHeight w:val="225"/>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2023 - December 31,</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17.12</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314,600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15,732,751</w:t>
            </w:r>
          </w:p>
        </w:tc>
      </w:tr>
      <w:tr>
        <w:trPr>
          <w:trHeight w:val="27"/>
        </w:trPr>
        <w:tc>
          <w:tcPr>
            <w:tcW w:w="276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1,392,171</w:t>
            </w:r>
          </w:p>
        </w:tc>
        <w:tc>
          <w:tcPr>
            <w:tcW w:w="24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1,392,171</w:t>
            </w:r>
          </w:p>
        </w:tc>
        <w:tc>
          <w:tcPr>
            <w:tcW w:w="42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above do not include the 1% excise tax on stock repurchases enacted by the Inflation Reduction Act of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48" w:lineRule="exact"/>
        <w:rPr>
          <w:sz w:val="20"/>
          <w:szCs w:val="20"/>
          <w:color w:val="auto"/>
        </w:rPr>
      </w:pPr>
    </w:p>
    <w:p>
      <w:pPr>
        <w:jc w:val="both"/>
        <w:ind w:left="660" w:right="20" w:hanging="328"/>
        <w:spacing w:after="0" w:line="261"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2023, we announced the authorization of a share repurchase program for the repurchase of shares of our Class A common stock in an aggregate amount of up to $75 million through December 31, 2024. On February 26, 2024, we announced an increase to the aggregate amount available for repurchases to $175 million through December 31, 2025. As of December 31, 2023, we had purchased approximately $59.3 million of our Class A common stock.</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per share includes costs associated with the repurchases.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relating to our 2024 annual meeting of stockholders to be filed by us with the SEC no later than 120 days after the close of our fiscal year ended December 31, 2023 (the “Proxy Statement”) and is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an initial investment of $100 in our Class A common stock between December 9, 2020 (the date our Class A common stock commenced trading on the Nasdaq Global Market) through December 31, 2023, with the comparative cumulative total returns of the Nasdaq Composite Index, the Nasdaq US Benchmark Software and Computer Services TR Index and the Nasdaq CTA Internet Total Return Index over the same period. The graph uses the closing market price on December 9, 2020 of $29.45 per share as the initial value of our Class A common stock. We have not paid any cash dividends: therefore, the cumulative total return calculation for us is based solely upon stock price appreciation and not the reinvestment of cash dividends, whereas the data for the comparative indexes assumes reinvestments of dividends. The returns shown are based on historical results and are not indicative of, nor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28575</wp:posOffset>
            </wp:positionV>
            <wp:extent cx="5657850" cy="3257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initial public offering of our Class A common stock was effected pursuant to a registration statement on Form S-1 (File No. 333-250077), which was declared effective by the SEC on December 8, 2020.</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as described in our final prospectus dated December 8, 2020 (the “Prospectus”) filed with the SEC pursuant to Rule 424(b)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an independent technology company seeking to maximize customer value by delivering digital advertising’s supply chain of the future.</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technology platform empowers the world’s leading digital content creators (which we refer to as “publishers”) across the open internet to maximize monetization of their advertising inventory. Our platform also provides control and transparency to buyers, which includes advertisers, agencies, agency trading desks, and demand side platforms (“DSPs”), (which we collectively refer to as “buyers”) and enables both publishers and buyers to drive better business outcomes. Our infrastructure-driven approach allows for the efficient processing and utilization of data in real time. By delivering scalable and flexible programmatic innovation, we believe we improve outcomes for our customers while championing a vibrant and transparent digital advertising supply chain.</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build direct relationships with publishers, advertisers, agencies, and DSPs and create bespoke products that meet our customers’ needs. We have also maintained a demonstrated track record of stability and agility to address these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Industry Trends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18"/>
          <w:szCs w:val="18"/>
          <w:b w:val="1"/>
          <w:bCs w:val="1"/>
          <w:i w:val="1"/>
          <w:iCs w:val="1"/>
          <w:color w:val="auto"/>
        </w:rPr>
        <w:t xml:space="preserve"> Macroeconomic Factors</w:t>
      </w:r>
    </w:p>
    <w:p>
      <w:pPr>
        <w:spacing w:after="0" w:line="1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digital advertising ecosystem continues to evolve and adapt at a rapid pace. Some noted trends include the continued growth of digital media across multiple platforms, a continued increase in the number of ad impressions processed and analyzed in real-time by each participant in the digital advertising ecosystem, a desire for transparency and control throughout the supply chain from both the buyers and publishers, and rapidly evolving data and privacy regulations and standards.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recent interest rate increases, foreign currency fluctuation and persistent inflation in the U.S. and other markets globally continue to create economic volatility and dislocation in the capital and credit markets in the U.S. and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“Risk Factors” for further discussion of the risks related to inflation, rising interest rates, foreign currency fluctuations and public health crises on our business.</w:t>
      </w: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Overview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financial highlights of our business: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96,250</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88,681</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64" w:lineRule="exact"/>
        <w:rPr>
          <w:sz w:val="20"/>
          <w:szCs w:val="20"/>
          <w:color w:val="auto"/>
        </w:rPr>
      </w:pPr>
    </w:p>
    <w:p>
      <w:pPr>
        <w:ind w:left="660" w:hanging="328"/>
        <w:spacing w:after="0" w:line="298"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definition of Adjusted EBITDA, an explanation of our management’s use of this measure, and a reconciliation of Adjusted EBITDA to net income, see “Non-GAAP Financial Measures”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Performance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growth and financial performance are dependent on many factors, including those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New Customers and Expand our Relationship with Existing Customers Globally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net dollar-based retention rate equals the Current Period Revenue divided by Prior Period Revenue. Our net dollar-based retention rate was 101% for the year ended December 31, 2023, and 108% for the year ended December 31, 2022. Our revenue growth in the period ended December 31, 2023 and 2022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 Our net dollar-based retention rate and revenues for the period ended December 31, 2023 were negatively impacted due to a decline in run rate from one of our publishers as they closed a portion of their business in 2023.</w:t>
      </w:r>
    </w:p>
    <w:p>
      <w:pPr>
        <w:spacing w:after="0" w:line="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Further, 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upply Path Optimization (“SPO”) continues to be a major growth driver for us as we add new SPO relationships and expand existing ones. We have been investing in SPO technology and partnerships for five years and SPO represented approximately 45% of total activity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Excellence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573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Platform Efficiency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46.5 trillion, 48.8 trillion, 56.0 trillion, and 59.4 trillion for each of the three months ended March 31, 2023, June 30, 2023, September 30, 2023, and December 31, 2023, respectively, as compared to 32.6 trillion, 36.2 trillion, 42.1 trillion, and 48.2 trillion for each of the three months ended March 31, 2022, June 30, 2022, September 30, 2022, and December 31, 2022,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primarily work with publishers and app developers who allow us direct access to their ad inventory, as well as select channel partners that meet our quality and scale thresholds. Our channel partners aggregate and provide further access to thousands of sites and apps from smaller publishers. We generate revenue through fees charged to our publishers, which are generally a percentage of the value of the advertising impressions that publishers monetize on our platform.</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generate revenues from our other products such as OpenWrap, our header bidding solution, and Connect, our solution that provides additional data and insights to buyers, which are sold separate from or in conjunction with use of our platform. We continue to invest in new features for our existing solutions and new solutions such as our new product Activate, which allows buyers to execute direct deals on our platform with publisher inventory, and Convert, our commerce media solution, both of which were launched in 2023.</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thereby resulting in seasonality in our revenues and corresponding accounts receivable and accounts payable balances, and our ability to manage our resources in anticipation of these trends will affect our operating results.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recognition policies are discussed in more detail under “Critical Accounting Policies and Estimates.”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Technology and development expenses consist of personnel costs, including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employee benefits costs, allocated facilities costs, and professional services. These expenses include costs incurred in the development, implementation and maintenance of internal use software, including platform and related infrastructure. We expense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personnel costs, including salaries, bonuses, stock-based compensation, and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of personnel costs, including salaries, bonuses,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invest in corporate infrastructure and incur additional expenses associated with our operation as a public company, including increased legal and accounting costs, increased investor relations costs, higher insurance premiums, and compliance costs associated with developing the requisite infrastructure required for internal controls. As a result, we continue to expect general and administrative expenses to increase in absolute dollars in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other income (expense), net consists of interest income, unrealized gain (loss) on equity investment and other income (expense), net. Interest income is generated by investing excess cash into money market accounts and marketable securities. Unrealized gain (loss) on equity investment consists of gains and losses on our investment in equity securities, including unrealized gains and losses from market price changes or impairment of securities we continue to hold. Other income (expense), net consists primarily of gains and losses from foreign currency exchange transactions.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provision for income taxes consists primarily of federal, state, and foreign income taxes. Our income tax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effective tax rate differs from the U.S. federal statutory income tax rate due to state taxes, foreign tax rate differences, technology and development tax credits, Section 162(m) limitation, and stock-based compensation.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results of operations data (in thousands) and such data as a percentage of revenue for the periods presented. The period-to-period comparison of results is not necessarily indicative of results for future periods.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3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267,014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256,380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226,908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99,229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81,512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0" w:type="dxa"/>
            <w:vAlign w:val="bottom"/>
          </w:tcPr>
          <w:p>
            <w:pPr>
              <w:spacing w:after="0"/>
              <w:rPr>
                <w:sz w:val="1"/>
                <w:szCs w:val="1"/>
                <w:color w:val="auto"/>
              </w:rPr>
            </w:pPr>
          </w:p>
        </w:tc>
      </w:tr>
      <w:tr>
        <w:trPr>
          <w:trHeight w:val="237"/>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167,785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174,868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168,595</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58,160</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165,749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134,348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109,806</w:t>
            </w:r>
          </w:p>
        </w:tc>
        <w:tc>
          <w:tcPr>
            <w:tcW w:w="0" w:type="dxa"/>
            <w:vAlign w:val="bottom"/>
          </w:tcPr>
          <w:p>
            <w:pPr>
              <w:spacing w:after="0"/>
              <w:rPr>
                <w:sz w:val="1"/>
                <w:szCs w:val="1"/>
                <w:color w:val="auto"/>
              </w:rPr>
            </w:pPr>
          </w:p>
        </w:tc>
      </w:tr>
      <w:tr>
        <w:trPr>
          <w:trHeight w:val="23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6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8,881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63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  Amounts include stock-based compensation expense before tax benefit as follows: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percentage of revenue)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6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Revenue and Gross Profit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267,014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256,380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10,634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21"/>
                <w:szCs w:val="21"/>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99,229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81,512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17,717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167,785</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174,868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(7,083)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 increased $10.6 million, or 4%, in 2023 driven by growth in impressions processed on our platform from both existing and new publishers. For the year ended 2023, we served approximately 1,800 publishers worldwide on our platform, compared to approximately 1,650 publishers worldwide for the year ended 2022. We ended fiscal 2023 with approximately 150 net new publishers in 2023, which represented over 66,000 domains and 29,000 apps in total, compared to approximately 200 new publishers in 2022, which represented approximately 67,000 domains and 25,000 apps in total. For purposes of our publisher count, we aggregate multiple business accounts from separate divisions, segments or subsidiaries into a single “master” publisher based on our assessment of the related nature of the group. In addition, in 2023 we completed a number of SPO initiatives which increased buyer spend on our platform.</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revenue to continue to increase in 2024, with mobile and omnichannel video, which is the combination of short form video and OTT/CTV, as our primary growth drivers.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$17.7 million, primarily due to a $4.0 million increase in depreciation of data center equipment, a $3.8 million increase in amortization of internal use software, a $6.2 million increase in data centers expansion and upgrades, a $2.0 million increase in personnel costs as headcount increased by 12% in order to support our growing business, and a $1.1 million increase in amortization for acquisition-related intangible assets. Overall, our cost of revenue per impression processed in 2023 declined by 8% compared to 2022.</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gross margin of 63% in 2023 decreased compared to 2022 of 68% due to increases in depreciation and amortization expense from significant data center capacity expansion, as well as an increase in hosting expenses as a result of an increase in volume of impressions.</w:t>
      </w:r>
    </w:p>
    <w:p>
      <w:pPr>
        <w:spacing w:after="0" w:line="54" w:lineRule="exact"/>
        <w:rPr>
          <w:sz w:val="20"/>
          <w:szCs w:val="20"/>
          <w:color w:val="auto"/>
        </w:rPr>
      </w:pPr>
    </w:p>
    <w:p>
      <w:pPr>
        <w:jc w:val="both"/>
        <w:ind w:firstLine="298"/>
        <w:spacing w:after="0" w:line="282" w:lineRule="auto"/>
        <w:rPr>
          <w:sz w:val="20"/>
          <w:szCs w:val="20"/>
          <w:color w:val="auto"/>
        </w:rPr>
      </w:pPr>
      <w:r>
        <w:rPr>
          <w:rFonts w:ascii="Times New Roman" w:cs="Times New Roman" w:eastAsia="Times New Roman" w:hAnsi="Times New Roman"/>
          <w:sz w:val="18"/>
          <w:szCs w:val="18"/>
          <w:color w:val="auto"/>
        </w:rPr>
        <w:t>We expect the cost of revenue to be higher in 2024 compared to 2023 in absolute dollars primarily due to increases in depreciation and amortization expense from data center capacity expansion in 2023, as well as increases in in software, hardware and equipment maintenance to support the data centers.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26,727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technology and development costs was primarily due to an increase of $11.1 million in personnel costs associated with a headcount increase by 11% and higher stock-based compensation costs, an increase of $1.0 million in facilities costs associated with new offices, offset by a $6.7 million increase in the capitalization of internal use software.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technology and development expenses to increase in 2024 compared to 2023 in absolute dollars, primarily due to the additional headcount investment in our key growth opportunities.</w:t>
      </w: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82,803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68,562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costs increased primarily due to a $10.7 million increase in personnel costs associated with a headcount increase by 5% and higher stock-based compensation costs, a $2.2 million increase in travel and entertainment expenses, and a $0.7 million increase in amortization for acquisition-related intangible assets.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to increase in 2024 compared to 2023 in absolute dollars primarily due to additional headcount investment and marketing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primarily due to a $6.4 million increase in personnel costs associated with higher stock-based compensation costs, and a $5.7 million increase in provision for bad debt relating to a DSP buyer of our platform that filed for Chapter 11 bankruptcy.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2024 compared to 2023 in absolute dollars primarily due to increases in expenses relating to our personnel.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8,828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419"/>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increased due to the increase in interest rates.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other income (expense), net increased for the year ended December 31, 2023, compared to the prior year period, primarily driven by impairment of our equity investment in 2022.</w:t>
      </w: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80" w:type="dxa"/>
            <w:vAlign w:val="bottom"/>
            <w:gridSpan w:val="4"/>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2480" w:type="dxa"/>
            <w:vAlign w:val="bottom"/>
            <w:gridSpan w:val="4"/>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9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difference between the effective tax rate in 2023 of 15% and the federal statutory income tax rate of 21% was primarily due to federal research and development credit and foreign derived intangible income (FDII) deduction partially offset by state taxes, stock-based compensation, and Section 162(m) limitation.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difference between the effective tax rate in 2022 of 23% and the federal statutory income tax rate of 21% was primarily due to state taxes, stock-based compensation, and Section 162(m) limitation partially offset by federal research and development credit, and a foreign derived intangible income deduction.</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discussion on comparison of the fiscal years ended December 31, 2022 and December 31, 2021, please refer to Part II, Item 7, “Management's Discussion and Analysis of Financial Condition and Results of Operations” in our Annual Report on Form 10-K for the fiscal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unrealized (gain) loss and impairment of equity investment, interest income, acquisition-related and other expenses, and provision for income taxes.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for each of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23,073</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and impairment of equity investment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ind w:left="240"/>
              <w:spacing w:after="0" w:line="270" w:lineRule="exact"/>
              <w:rPr>
                <w:sz w:val="20"/>
                <w:szCs w:val="20"/>
                <w:color w:val="auto"/>
              </w:rPr>
            </w:pPr>
            <w:r>
              <w:rPr>
                <w:rFonts w:ascii="Times New Roman" w:cs="Times New Roman" w:eastAsia="Times New Roman" w:hAnsi="Times New Roman"/>
                <w:sz w:val="18"/>
                <w:szCs w:val="18"/>
                <w:color w:val="auto"/>
              </w:rPr>
              <w:t xml:space="preserve">Acquisition-related and other expenses </w:t>
            </w:r>
            <w:r>
              <w:rPr>
                <w:rFonts w:ascii="Times New Roman" w:cs="Times New Roman" w:eastAsia="Times New Roman" w:hAnsi="Times New Roman"/>
                <w:sz w:val="28"/>
                <w:szCs w:val="28"/>
                <w:color w:val="auto"/>
                <w:vertAlign w:val="superscript"/>
              </w:rPr>
              <w:t>(1)</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75,309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64" w:lineRule="exact"/>
        <w:rPr>
          <w:sz w:val="20"/>
          <w:szCs w:val="20"/>
          <w:color w:val="auto"/>
        </w:rPr>
      </w:pPr>
    </w:p>
    <w:p>
      <w:pPr>
        <w:jc w:val="both"/>
        <w:ind w:left="660" w:hanging="328"/>
        <w:spacing w:after="0" w:line="263"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Beginning in fiscal year 2023, we no longer exclude the impact of post-acquisition cash compensation arrangements for certain key acquired employees from our Adjusted EBITDA calculation. We have updated prior period results for comparability. For additional information, see Note 7, “Business Combination” to our consolidated financial statements included elsewhere in this Annual Report on Form 10-K.</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operating income and net income, 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spacing w:after="0" w:line="68" w:lineRule="exact"/>
        <w:rPr>
          <w:sz w:val="20"/>
          <w:szCs w:val="20"/>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by investors and securities analysts to measure a company’s operating performance without regard to items such as stock-based compensation expense, depreciation and amortization, interest expense, provision for income taxes, and certain one-time items such as impairments of long-lived assets, that can vary substantially from company to company depending upon their financing, capital structures and the method by which assets were acquired;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uses Adjusted EBITDA in conjunction with GAAP financial measures for planning purposes, including the preparation of our annual operating budget, as a measure of operating performance and the effectiveness of our business strategies and in communications with our board of directors concerning our financial performance; and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provides consistency and comparability with our past financial performance, facilitates period-to-period comparisons of operations, and also facilitates comparisons with other peer companies, many of which use similar non-GAAP financial measures to supplement their GAAP results.</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use of this non-GAAP financial measure has limitations as an analytical tool, and you should not consider it in isolation or as a substitute for analysis of our financial results as reported under GAAP. Some of these limitations are as follows:</w:t>
      </w:r>
    </w:p>
    <w:p>
      <w:pPr>
        <w:spacing w:after="0" w:line="54"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 changes in, or cash requirements for, our working capital needs; (b) the potentially dilutive impact of stock-based compensation; or (c) tax payments that may represent a reduction in cash available to us;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Adjusted EBITDA along with other GAAP-based financial performance measures, including net income and our GAAP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financed our operations and capital expenditures primarily through utilization of cash generated from operations, as well as a public offering of our common stock. As of December 31, 2023, we had cash, cash equivalents, and marketable securities of $175.3 million and net working capital, consisting of current assets less current liabilities, of $182.4 million. As of December 31, 2023, we had retained earnings of $136.9 million.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6"/>
              </w:rPr>
              <w:t>81,121</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rPr>
              <w:t>(39,018)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rPr>
              <w:t>(55,976)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of $81.1 million resulted primarily from net income of $8.9 million, adjustments for non-cash expenses of $68.0 million, including $44.8 million for depreciation and amortization, $28.9 million for stock-based compensation, and $13.4 million for deferred income taxes, and an increase in accounts receivable of $75.7 million, partially offset by an increase in accounts payable of $79.7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net cash provided by operating activities of $87.2 million resulted primarily from net income of $28.7 million, adjustments for non-cash expenses of $59.0 million, including $34.2 million for depreciation and amortization, $20.6 million for stock-based compensation, and $7.2 million for deferred income taxes, and an increase in accounts receivable of $24.4 million, partially offset by an increase in accounts payable of $29.8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used $39.0 million of cash in investing activities, consisting of a net increase in investments of marketable securities of $29.6 million, $10.6 million in purchases of property and equipment (primarily data center infrastructure), $17.7 million of investments in capitalized internal use software, offset by an increase from sales of marketable securities prior to maturity of $18.9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used $81.4 million of cash in investing activities, consisting of a net increase in investments of marketable securities of $4.4 million, $35.9 million in purchases of property and equipment (primarily data center infrastructure), $13.0 million of investments in capitalized internal use software, and $28.1 million for the Martin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of $56.0 million was primarily due to $59.3 million in stock repurchases, offset by $1.5 million proceeds from stock option exercises and $1.9 million proceeds from the employee stock purchase plan.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of $4.0 million was primarily due to $1.2 million in proceeds from stock option exercises and $3.0 million in proceeds from the employee stock purchase plan.</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discussion on operating, investing, and financing activities of the fiscal year ended December 31, 2021, see the Liquidity and Capital Resources section disclosed in “Management’s Discussion and Analysis of Financial Condition and Results of Operations” of our Annual Report on Form 10-K, which was filed with the SEC on March 1, 2022 and hereby incorporated by reference herein and considered part of this Annual Report on Form 10-K only to the extent referenced.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Future Cash Requirements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2023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35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3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37"/>
        </w:trPr>
        <w:tc>
          <w:tcPr>
            <w:tcW w:w="3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contractual obligations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48,586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6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Other contractual obligations consist primarily of contractual obligations to third-party data center providers.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$4.5 million of long-term income tax liabilities, including interest, related to uncertain tax positions. Because of the high degree of uncertainty regarding the settlement of these liabilities, we are unable to estimate the years in which future cash outflows may occur. As a result, this amount is not included in the contractual obligations table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17, 2022, we entered into a Senior Secured Credit Facilities Credit Agreement (the “Credit Agreement”) with the several lenders parties thereto, and Silicon Valley Bank, as administrative agent, lead arranger, issuing lender, and swingline lender. The Credit Agreement provides a revolving credit facility in an aggregate principal amount of $110.0 million (“the Revolving Credit Facility”), including a $25.0 million letter of credit sub-facility and a $25.0 million swingline sub-facility.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obligations under the Credit Agreement are secured by substantially all of our assets. The Credit Agreement matures on October 17, 2027.</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accrue interest at rates equal, at our election, to (i) the adjusted term secured overnight financing rate (“SOFR”), which is defined as (a) the applicable term SOFR plus (b) a term SOFR adjustment equal to 0.20% per annum,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As of December 31, 2023, the applicable interest rate under the Revolving Credit Facility was 9.50%. We had no amounts outstanding under the Revolving Credit Facility as of December 31, 2023.</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5, “Loan and Security Agreement and Senior Secured Credit Facilities Agreement” to our consolidated financial statements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The preparation of the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consolidated financial statements. Therefore, we consider these to be our critical accounting policies and estimates.</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refer to our publishers, app developers, and channel partners collectively as our publishers. 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 See “Part II - Item 8. Financial Statements and Supplementary Data - Note 2” for more information on revenue recognition.</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generally invoice buyers at the end of each month for the full purchase price of ad impressions monetized in that month. Accounts receivable are recorded at the amount of gross billings for the amounts we are responsible to collect, and accounts payable are recorded at the net amount payable to publishers. Accordingly, both accounts receivable and accounts payable appear large in relation to revenue reported on a net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capitalize certain internal use software development costs associated with creating and enhancing internal use software related to our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We expense software development costs that do not meet the criteria for capitalization as incurred and record them in technology and development expenses in the consolidated statements of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w:t>
      </w:r>
    </w:p>
    <w:p>
      <w:pPr>
        <w:spacing w:after="0" w:line="27" w:lineRule="exact"/>
        <w:rPr>
          <w:sz w:val="20"/>
          <w:szCs w:val="20"/>
          <w:color w:val="auto"/>
        </w:rPr>
      </w:pPr>
    </w:p>
    <w:p>
      <w:pPr>
        <w:jc w:val="both"/>
        <w:ind w:firstLine="8"/>
        <w:spacing w:after="0" w:line="252" w:lineRule="auto"/>
        <w:tabs>
          <w:tab w:leader="none" w:pos="3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implementation stage. Costs incurred in the planning and post 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We capitalize costs incurred in the application and infrastructure development stages, including significant enhancements and upgrades. Capitalization ends once a project is substantially complete and the software and technologies are ready for their intended purpose. We amortize internal use software development costs using a straight-line method over the estimated useful life of two to five years, commencing when the software is ready for its intended use.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units, and awards granted under our employee stock purchase plan (“ESPP”) is measured and recognized in our consolidated financial statements based on the fair value of the awards granted. The fair values of our ESPP and stock option awards are estimated on the grant date using the Black-Scholes option-pricing model. The fair value of restricted stock is calculated using the closing market price of our common stock on the date of grant.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restricted stock is recognized on a straight-line basis over the requisite service periods of the awards, which is generally four years. Stock-based compensation expense for ESPP awards is recognized on a graded-vesting attribution basis over the requisite service period of each award.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stock-based compensation and the assumptions used for determining the fair value of stock options and ESPP awards, refer to Note 2—Basis of Presentation and Summary of Significant Accounting Policies and Note 10—Stockholders’ Equity and Equity Incentive Plans.</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Intangible Assets and Goodwill</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Acquisition-related intangible assets with finite lives are amortized over their estimated useful lives on a straight-line basis, while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Our income tax provision may be significantly affected by changes to our estimates for tax in jurisdictions in which we operate and </w:t>
      </w:r>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212529"/>
        </w:rPr>
        <w:t xml:space="preserve"> estimates utilized in determining the global effective tax rate. Actual results may also differ from our estimate based on changes in economic conditions. Such changes could have a substantial impact on the income tax provision. We evaluate the judgments surrounding our estimates and make adjustments, as appropriate, each reporting period.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Deferred income tax assets and liabilities are determined based upon the net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A </w:t>
      </w:r>
      <w:r>
        <w:rPr>
          <w:rFonts w:ascii="Times New Roman" w:cs="Times New Roman" w:eastAsia="Times New Roman" w:hAnsi="Times New Roman"/>
          <w:sz w:val="18"/>
          <w:szCs w:val="18"/>
          <w:color w:val="000000"/>
        </w:rPr>
        <w:t>valuation</w:t>
      </w:r>
      <w:r>
        <w:rPr>
          <w:rFonts w:ascii="Times New Roman" w:cs="Times New Roman" w:eastAsia="Times New Roman" w:hAnsi="Times New Roman"/>
          <w:sz w:val="18"/>
          <w:szCs w:val="18"/>
          <w:color w:val="212529"/>
        </w:rPr>
        <w:t xml:space="preserve"> allowance is used to reduce some or all of the deferred tax assets if, based upon the weight of available evidence, it is more likely than not that those deferred tax assets will not be realized.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12529"/>
        </w:rPr>
        <w:t xml:space="preserve">We recognize the tax benefit from an uncertain tax position only if it is more likely than not that the tax position will be sustained </w:t>
      </w:r>
      <w:r>
        <w:rPr>
          <w:rFonts w:ascii="Times New Roman" w:cs="Times New Roman" w:eastAsia="Times New Roman" w:hAnsi="Times New Roman"/>
          <w:sz w:val="18"/>
          <w:szCs w:val="18"/>
          <w:color w:val="000000"/>
        </w:rPr>
        <w:t>on</w:t>
      </w:r>
      <w:r>
        <w:rPr>
          <w:rFonts w:ascii="Times New Roman" w:cs="Times New Roman" w:eastAsia="Times New Roman" w:hAnsi="Times New Roman"/>
          <w:sz w:val="18"/>
          <w:szCs w:val="18"/>
          <w:color w:val="212529"/>
        </w:rPr>
        <w:t xml:space="preserve">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our income tax provision in the accompanying consolidated statement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in Part II, Item 8 of this Form 10-K, for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include: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cash and cash equivalents of $78.5 million and marketable securities of $96.8 million as of December 31, 2023, which consisted of bank deposits, money market accounts, commercial paper, agency debt securities, and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December 31, 2023.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$2.0 million and $1.6 million in our operating income for the year ended December 31, 2023 and December 31, 2022, respectively. A hypothetical 10% change in the U.S. Dollar to British Pound exchange rate could result in a change of $1.7 million and $1.4 million in our operating income for the year ended December 31, 2023 and December 31, 2022,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for example in India or increases in data center base costs,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PUBMATIC, INC. AND SUBSIDIARIES</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700" w:type="dxa"/>
            <w:vAlign w:val="bottom"/>
            <w:gridSpan w:val="3"/>
          </w:tcPr>
          <w:p>
            <w:pPr>
              <w:jc w:val="center"/>
              <w:ind w:left="23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9"/>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60</w:t>
            </w:r>
          </w:p>
        </w:tc>
        <w:tc>
          <w:tcPr>
            <w:tcW w:w="60" w:type="dxa"/>
            <w:vAlign w:val="bottom"/>
          </w:tcPr>
          <w:p>
            <w:pPr>
              <w:spacing w:after="0"/>
              <w:rPr>
                <w:sz w:val="20"/>
                <w:szCs w:val="20"/>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gridSpan w:val="6"/>
          </w:tcPr>
          <w:p>
            <w:pPr>
              <w:spacing w:after="0"/>
              <w:rPr>
                <w:sz w:val="21"/>
                <w:szCs w:val="21"/>
                <w:color w:val="auto"/>
              </w:rPr>
            </w:pPr>
          </w:p>
        </w:tc>
        <w:tc>
          <w:tcPr>
            <w:tcW w:w="3940" w:type="dxa"/>
            <w:vAlign w:val="bottom"/>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340" w:type="dxa"/>
            <w:vAlign w:val="bottom"/>
            <w:gridSpan w:val="6"/>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63</w:t>
            </w:r>
          </w:p>
        </w:tc>
        <w:tc>
          <w:tcPr>
            <w:tcW w:w="6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5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0" w:type="dxa"/>
            <w:vAlign w:val="bottom"/>
          </w:tcPr>
          <w:p>
            <w:pPr>
              <w:spacing w:after="0"/>
              <w:rPr>
                <w:sz w:val="21"/>
                <w:szCs w:val="21"/>
                <w:color w:val="auto"/>
              </w:rPr>
            </w:pPr>
          </w:p>
        </w:tc>
        <w:tc>
          <w:tcPr>
            <w:tcW w:w="4420" w:type="dxa"/>
            <w:vAlign w:val="bottom"/>
            <w:gridSpan w:val="2"/>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65</w:t>
            </w:r>
          </w:p>
        </w:tc>
        <w:tc>
          <w:tcPr>
            <w:tcW w:w="6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80" w:type="dxa"/>
            <w:vAlign w:val="bottom"/>
            <w:gridSpan w:val="2"/>
          </w:tcPr>
          <w:p>
            <w:pPr>
              <w:spacing w:after="0"/>
              <w:rPr>
                <w:sz w:val="21"/>
                <w:szCs w:val="21"/>
                <w:color w:val="auto"/>
              </w:rPr>
            </w:pPr>
          </w:p>
        </w:tc>
        <w:tc>
          <w:tcPr>
            <w:tcW w:w="4600" w:type="dxa"/>
            <w:vAlign w:val="bottom"/>
            <w:gridSpan w:val="3"/>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66</w:t>
            </w:r>
          </w:p>
        </w:tc>
        <w:tc>
          <w:tcPr>
            <w:tcW w:w="60" w:type="dxa"/>
            <w:vAlign w:val="bottom"/>
          </w:tcPr>
          <w:p>
            <w:pPr>
              <w:spacing w:after="0"/>
              <w:rPr>
                <w:sz w:val="21"/>
                <w:szCs w:val="2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000" w:type="dxa"/>
            <w:vAlign w:val="bottom"/>
            <w:gridSpan w:val="4"/>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Times New Roman" w:cs="Times New Roman" w:eastAsia="Times New Roman" w:hAnsi="Times New Roman"/>
                <w:sz w:val="18"/>
                <w:szCs w:val="18"/>
                <w:color w:val="0000FF"/>
                <w:w w:val="99"/>
              </w:rPr>
              <w:t>67</w:t>
            </w:r>
          </w:p>
        </w:tc>
        <w:tc>
          <w:tcPr>
            <w:tcW w:w="6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29" w:right="6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PubMatic,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PubMatic, Inc. and subsidiaries (the "Company") as of December 31, 2023 and 2022, the related consolidated statements of operations, comprehensive income, stockholders' equity, and cash flows, for each of the three years in the period ended December 31, 2023, and the related notes (collectively referred to as the "financial statements"). We have also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Refer to Note 2 to the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 through the monetization of publisher ad impressions on its platform. The Company charges publishers a fee, which is typically a percentage of the value of the ad impressions monetized through the platform. The Company recognizes revenue when a bid is won and a buyer purchases digital advertising inventory on its platform. The Company reports revenue net of payments to publishers. For the year ended December 31, 2023, the Company’s revenue was $267.0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revenue as a critical audit matter because there is a significant audit effort required in performing our audit procedures, which include evaluating and testing the Company’s process, systems, and controls related to the revenue cycle.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revenue included the following, among others:</w:t>
      </w:r>
    </w:p>
    <w:p>
      <w:pPr>
        <w:spacing w:after="0" w:line="117"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the revenue cycle, including (i) general information technology (IT) controls over relevant systems used to process and record advertising transactions, including testing of user access controls, change management controls, and IT operations controls and (ii) controls in place to reconcile the various systems to the Company’s general ledger and to address the accuracy and completeness of data used to recognize revenue.</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synthetic transactions and traced the recording of these transactions into the Company’s systems to understand how revenue transactions are captured, processed, and aggregated.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data analytics to inspect journal entries and identify relationships in the revenue population to (i) identify significant relationships in the revenue population and (ii) understand significant relationships and related accounts affecting revenue.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audit procedures on those related accounts determined to have a significant relationship with revenue, including sending confirmations to customers for a selection of accounts which included the receivable balances and related impression count for each selection, and selecting a sample of publisher payables and performing subsequent disbursements testing.</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proof of cash reconciliation that reconciled cash to revenue and related revenue accounts.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82,013</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71,156</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intangible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642,175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277,414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379,593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302,026</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329,987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per share, 10,000 shares authorized as of December 31, 2023 and 2022; No</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 1,000,000 Class A shares authorized as of December 31, 2023 and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45,542 shares issued and 41,502 shares outstanding as of December 31, 2023; 43,452 shares issued and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 1,000,000 Class B shares authorized as of December 31, 2023 and 2022;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11,884 shares issued and 8,744 shares outstanding as of December 31, 2023; 12,393 shares issued and 9,253</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7,180 and 3,140 shares as of December 31, 2023 and 2022,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195,677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128,000</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312,188</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642,175</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229"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5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226,908</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58,313</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168,595</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35,761</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109,806</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58,789</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equity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56,604</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income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5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56,567</w:t>
            </w:r>
          </w:p>
        </w:tc>
      </w:tr>
      <w:tr>
        <w:trPr>
          <w:trHeight w:val="21"/>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700" w:type="dxa"/>
            <w:vAlign w:val="bottom"/>
            <w:gridSpan w:val="3"/>
            <w:vMerge w:val="restart"/>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4200" w:type="dxa"/>
            <w:vAlign w:val="bottom"/>
          </w:tcPr>
          <w:p>
            <w:pPr>
              <w:spacing w:after="0"/>
              <w:rPr>
                <w:sz w:val="8"/>
                <w:szCs w:val="8"/>
                <w:color w:val="auto"/>
              </w:rPr>
            </w:pPr>
          </w:p>
        </w:tc>
        <w:tc>
          <w:tcPr>
            <w:tcW w:w="170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Additional Paid-</w:t>
            </w:r>
          </w:p>
        </w:tc>
        <w:tc>
          <w:tcPr>
            <w:tcW w:w="102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8"/>
                <w:szCs w:val="8"/>
                <w:color w:val="auto"/>
              </w:rPr>
            </w:pPr>
          </w:p>
        </w:tc>
        <w:tc>
          <w:tcPr>
            <w:tcW w:w="84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8"/>
                <w:szCs w:val="8"/>
                <w:color w:val="auto"/>
              </w:rPr>
            </w:pPr>
          </w:p>
        </w:tc>
        <w:tc>
          <w:tcPr>
            <w:tcW w:w="840" w:type="dxa"/>
            <w:vAlign w:val="bottom"/>
          </w:tcPr>
          <w:p>
            <w:pPr>
              <w:jc w:val="center"/>
              <w:ind w:right="22"/>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In Capital</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7"/>
                <w:szCs w:val="17"/>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48,988</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507"/>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144,163</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42,691</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175,427</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treasury stock, at cost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7"/>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56,604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56,604</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 December 31,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51,855</w:t>
            </w: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169,401</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99,295</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257,180</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22,121</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0" w:type="dxa"/>
            <w:vAlign w:val="bottom"/>
          </w:tcPr>
          <w:p>
            <w:pPr>
              <w:spacing w:after="0"/>
              <w:rPr>
                <w:sz w:val="1"/>
                <w:szCs w:val="1"/>
                <w:color w:val="auto"/>
              </w:rPr>
            </w:pPr>
          </w:p>
        </w:tc>
      </w:tr>
      <w:tr>
        <w:trPr>
          <w:trHeight w:val="202"/>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46"/>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28,705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28,705</w:t>
            </w:r>
          </w:p>
        </w:tc>
        <w:tc>
          <w:tcPr>
            <w:tcW w:w="0" w:type="dxa"/>
            <w:vAlign w:val="bottom"/>
          </w:tcPr>
          <w:p>
            <w:pPr>
              <w:spacing w:after="0"/>
              <w:rPr>
                <w:sz w:val="1"/>
                <w:szCs w:val="1"/>
                <w:color w:val="auto"/>
              </w:rPr>
            </w:pPr>
          </w:p>
        </w:tc>
      </w:tr>
      <w:tr>
        <w:trPr>
          <w:trHeight w:val="23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December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52,705</w:t>
            </w: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195,677</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128,000</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312,188</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31,324</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treasury stock, at cost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(59,617)</w:t>
            </w:r>
          </w:p>
        </w:tc>
        <w:tc>
          <w:tcPr>
            <w:tcW w:w="0" w:type="dxa"/>
            <w:vAlign w:val="bottom"/>
          </w:tcPr>
          <w:p>
            <w:pPr>
              <w:spacing w:after="0"/>
              <w:rPr>
                <w:sz w:val="1"/>
                <w:szCs w:val="1"/>
                <w:color w:val="auto"/>
              </w:rPr>
            </w:pPr>
          </w:p>
        </w:tc>
      </w:tr>
      <w:tr>
        <w:trPr>
          <w:trHeight w:val="202"/>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5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6"/>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50,246</w:t>
            </w:r>
          </w:p>
        </w:tc>
        <w:tc>
          <w:tcPr>
            <w:tcW w:w="80" w:type="dxa"/>
            <w:vAlign w:val="bottom"/>
            <w:tcBorders>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(71,103)</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230,419</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136,881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PUBMATIC, INC. AND SUBSIDIARIES</w:t>
      </w:r>
    </w:p>
    <w:p>
      <w:pPr>
        <w:spacing w:after="0" w:line="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28,705</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56,604</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23,073</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Unrealized (gain) loss and impairment of equity investment</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14,107</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Accretion of discount on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(67,405)</w:t>
            </w:r>
          </w:p>
        </w:tc>
        <w:tc>
          <w:tcPr>
            <w:tcW w:w="0" w:type="dxa"/>
            <w:vAlign w:val="bottom"/>
          </w:tcPr>
          <w:p>
            <w:pPr>
              <w:spacing w:after="0"/>
              <w:rPr>
                <w:sz w:val="1"/>
                <w:szCs w:val="1"/>
                <w:color w:val="auto"/>
              </w:rPr>
            </w:pPr>
          </w:p>
        </w:tc>
      </w:tr>
      <w:tr>
        <w:trPr>
          <w:trHeight w:val="233"/>
        </w:trPr>
        <w:tc>
          <w:tcPr>
            <w:tcW w:w="6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68,301</w:t>
            </w:r>
          </w:p>
        </w:tc>
        <w:tc>
          <w:tcPr>
            <w:tcW w:w="0" w:type="dxa"/>
            <w:vAlign w:val="bottom"/>
          </w:tcPr>
          <w:p>
            <w:pPr>
              <w:spacing w:after="0"/>
              <w:rPr>
                <w:sz w:val="1"/>
                <w:szCs w:val="1"/>
                <w:color w:val="auto"/>
              </w:rPr>
            </w:pPr>
          </w:p>
        </w:tc>
      </w:tr>
      <w:tr>
        <w:trPr>
          <w:trHeight w:val="233"/>
        </w:trPr>
        <w:tc>
          <w:tcPr>
            <w:tcW w:w="6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88,681</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and deposits on property and equipment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(30,432)</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(8,929)</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(90,562)</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sales of marketable securities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33,200</w:t>
            </w:r>
          </w:p>
        </w:tc>
        <w:tc>
          <w:tcPr>
            <w:tcW w:w="0" w:type="dxa"/>
            <w:vAlign w:val="bottom"/>
          </w:tcPr>
          <w:p>
            <w:pPr>
              <w:spacing w:after="0"/>
              <w:rPr>
                <w:sz w:val="1"/>
                <w:szCs w:val="1"/>
                <w:color w:val="auto"/>
              </w:rPr>
            </w:pPr>
          </w:p>
        </w:tc>
      </w:tr>
      <w:tr>
        <w:trPr>
          <w:trHeight w:val="237"/>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(39,018)</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(81,371)</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discounts and commissions</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for employee stock purchase plan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6"/>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to acquire treasury stock</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(55,976)</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Year</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92,382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82,505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81,188</w:t>
            </w:r>
          </w:p>
        </w:tc>
        <w:tc>
          <w:tcPr>
            <w:tcW w:w="0" w:type="dxa"/>
            <w:vAlign w:val="bottom"/>
          </w:tcPr>
          <w:p>
            <w:pPr>
              <w:spacing w:after="0"/>
              <w:rPr>
                <w:sz w:val="1"/>
                <w:szCs w:val="1"/>
                <w:color w:val="auto"/>
              </w:rPr>
            </w:pPr>
          </w:p>
        </w:tc>
      </w:tr>
      <w:tr>
        <w:trPr>
          <w:trHeight w:val="26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INFORMATION: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capitalized as internal use software costs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included in accounts payable and accrued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costs included in accounts payable and accrued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combination purchase consideration - indemnification claims holdback</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229" w:right="359" w:bottom="1440" w:gutter="0" w:footer="0" w:header="0"/>
        </w:sectPr>
      </w:pP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PUBMATIC,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right="500" w:firstLine="324"/>
        <w:spacing w:after="0" w:line="406" w:lineRule="auto"/>
        <w:rPr>
          <w:sz w:val="20"/>
          <w:szCs w:val="20"/>
          <w:color w:val="auto"/>
        </w:rPr>
      </w:pPr>
      <w:r>
        <w:rPr>
          <w:rFonts w:ascii="Times New Roman" w:cs="Times New Roman" w:eastAsia="Times New Roman" w:hAnsi="Times New Roman"/>
          <w:sz w:val="18"/>
          <w:szCs w:val="18"/>
          <w:color w:val="auto"/>
        </w:rPr>
        <w:t xml:space="preserve">The Company’s fiscal year ends on December 31. References to fiscal year 2023, for example, refer to the fiscal year ended December 31, 2023.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The accompanying consolidated financial statements include the accounts of PubMatic, Inc. and its wholly-owned subsidiaries. All intercompany accounts and transactions have been eliminated in consolidation. Certain prior period amounts reported in our consolidated financial statements and notes thereto have been reclassified to conform to the current period presentation.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items subject to such estimates include: revenue recognition criteria, including the determination of revenue reporting as net versus gross in the Company’s revenue arrangements, internal use software development costs, stock-based compensation, acquisition-related intangible assets, and income taxes, including the valuation reserve on deferred tax assets. The Company evaluates its estimates and assumptions on an ongoing basis using historical experience and other factors and adjusts those estimates and assumptions when facts and circumstances dictate. Actual results could materially differ from those estimates and assumptions.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assumptions and estimates, events and changes in circumstances arising after December 31, 2023, including macroeconomic factors, may result in actual outcomes that differ from those contemplated by the Company’s assumptions and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marketable securities, and accounts receivable. The Company maintains its cash and cash equivalents with financial institutions in amounts which exceed Federal Deposit Insurance Corporation limits.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investment policy limits investments to certain types of securities issued by the U.S. government and its agencies and institutions with investment-grade credit ratings and places restrictions on maturities and concentration by type and issuer. The primary objective of its investment activities is to preserve principal while maximizing income without significantly increasing risk.</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defines its revenue concentration based on revenue recognized from individual publishers. For the years ended December 31, 2023, no publisher represented more than 10% of the Company’s revenue. For the years ended December 31, 2022 and 2021, one publisher represented 13% and 17% respectively, of the Company’s revenue. As of December 31, 2023, three buyers accounted for 30%, 21%, and 14%, respectively, of accounts receivable. As of December 31, 2022, three buyers accounted for 33%, 15%, and 11%, respectively, of accounts receivable.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at the date of purchase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classifies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twelve months, as current assets in the consolidated balance sheets. These marketable securities are carried at fair value and unrealized gains and losses are recorded in other comprehensive income, which is reflected as a component of stockholders’ equity. These marketable securities are assessed as to whether those with unrealized loss positions are other than temporarily impaired. The Company considers impairments to be other than temporary if they are related to deterioration in credit risk or if it is likely the securities will be sold before the recovery of their cost basis. Realized gains and losses from the sale of marketable securities and declines in value deemed to be other than temporary are determined based on the specific identification method. Realized gains and losses, and any expected credit losses, are reported in other income (expense), net in the consolidated statements of operations and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equivalents, marketable securities, accounts receivable, accounts payable, and accrued liabilities. Cash equivalents and marketable securities are remeasured at fair value at the end of every period. Accounts receivable, accounts payable and accrued liabilities are stated at their carrying value, which approximates fair value due to the short time to the expected receipt or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The Company reviews the allowance for credit losses on a quarterly basis. Account balances are written off against the allowance when the Company believes it is probable the receivable will not be recovered.</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allowance for credit losses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balance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6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ending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less accumulated depreciation and amortization. Depreciation is computed using the straight-line method over the estimated useful lives of the related assets, generally three years. Leasehold improvements are amortized on a straight-line basis over the shorter of the estimated useful lives of the assets or the remaining lease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certain internal use software development costs associated with creating and enhancing internal use software related to its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technology and development expenses in the consolidated statements of operations and comprehensive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w:t>
      </w:r>
    </w:p>
    <w:p>
      <w:pPr>
        <w:spacing w:after="0" w:line="27" w:lineRule="exact"/>
        <w:rPr>
          <w:sz w:val="20"/>
          <w:szCs w:val="20"/>
          <w:color w:val="auto"/>
        </w:rPr>
      </w:pPr>
    </w:p>
    <w:p>
      <w:pPr>
        <w:ind w:right="20" w:firstLine="8"/>
        <w:spacing w:after="0" w:line="260" w:lineRule="auto"/>
        <w:tabs>
          <w:tab w:leader="none" w:pos="3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implementation stage. Costs incurred in the planning and post implementation stages of software development, including costs associated with the post configuration training and repairs and maintenance of the developed technologies, are expensed as incurred.</w:t>
      </w:r>
    </w:p>
    <w:p>
      <w:pPr>
        <w:spacing w:after="0" w:line="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two to five years, commencing when the software is ready for its intended use.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a lease at inception. The Company’s leases may include a non-lease component representing additional services transferred to the Company, such as common area maintenance for real estate. The Company accounts for each separate lease component and the non-lease components associated with that lease component as a single lease component. As such, minimum lease payments include fixed payments for non-lease components within a lease agreement but exclude variable lease payments not dependent on an index or rate, such as common area maintenance, operating expenses, utilities, or other costs that are subject to fluctuation from period to period. Non-lease components that are variable in nature are recorded as variable lease expense in the period incurred.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made an accounting policy election under Topic 842 not to recognize right-of-use (ROU) assets and lease liabilities for leases with a term of twelve months or less. For all other leases, the Company recognizes ROU assets and lease liabilities based on the present value of lease payments over the lease term at the commencement date of the lease. The ROU assets also include any initial direct costs incurred and lease payments made at or before the commencement date and are reduced by any lease incentives.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 assets and liabilities are included on our consolidated balance sheets. Finance lease assets are included in property, equipment and software, net. Finance lease liabilities are included in accrued liabilities or other liabilities, non-current.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events and changes in circumstances that could indicate that carrying amounts of its long-lived assets, including property and equipment and intangible assets may not be recoverable. When such events or changes in circumstances occur, the Company assesses the recoverability of long-lived assets by determining whether the carrying value of such assets will be recovered through their undiscounted expected future cash flows. If the future undiscounted cash flows are less than the carrying value of these assets, the Company recognizes an impairment loss based on the excess of the carrying value over the fair value of the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Intangible Assets and Goodwill</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Acquisition-related intangible assets with finite lives are amortized over their estimated useful lives on a straight-line basis.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has not recorded any acquisition-related intangible assets or goodwill impairment to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Equity Investment</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Prior to December 2021, the Company measured its equity investment in a privately held company in which the Company did not own a controlling interest or exercise significant influence using the measurement alternative for equity securities without a readily determinable fair value. Under the measurement alternative, the carrying value is measured at cost, less any impairment, plus or minus changes resulting from observable price changes in orderly transactions for identical or similar investments of the same issuer. During December 2021, an observable transaction occurred for the Company’s equity investment wherein the privately held company merged with a publicly held company whose shares of common stock were publicly quoted in the Over-the-Counter (“OTC”) market. Therefore, the equity investment had a readily determinable fair value as of December 31, 2021 and was subsequently measured at fair value in the Company’s consolidated balance sheets with unrealized gains and losses included in other income (expense), net in the Company’s consolidated statements of operations. However, during September 2022, the Company concluded there was no longer a readily determinable fair value for its equity investment because the shares were no longer publicly quoted pursuant to U.S. Securities and Exchange Commission (“SEC”) Rule 15c2-11. The Company evaluated the measurement guidance for equity securities without a readily determinable fair value and performed a qualitative assessment of various impairment indicators and concluded the equity investment was fully impaired as of September 30, 2022 and December 31, 2022. As a result, the Company recognized an impairment loss equal to the difference between the fair value of the investment and its carrying amount. An impairment charge of $5.9 million was recorded within other income (expense), net in the Company’s consolidated statements of operations for the year ended December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revenue through the following steps:</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refers to its publishers, app developers, and channel partners collectively as its publishers. The Company generates revenue through the monetization of publisher ad impressions on its platform. The Company’s platform allows publishers to sell, in real time, ad impressions to buyers and provides automated inventory management and monetization tools to publishers across various device types and digital ad formats. The Company charges publishers a fee, which is typically a percentage of the value of the ad impressions monetized through the Company’s platform.</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agreements with each publisher and buyer in the form of written service agreements, which set out the terms of the relationship, including payment terms (typically ninety days or less) and access to its platform.</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invoices buyers for publisher digital advertising inventory purchased through its platform. The Company recognizes revenue when a bid is won and a buyer purchases inventory on its platform. The Company estimates and records reductions to revenue for rebates related to supply path optimization agreements based on expected volumes during the incentive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as to whether revenue should be reported gross of amounts billed to buyers (gross basis) or net of payments to publishers (net basis) requires significant judgment, and is based on the Company’s assessment of whether it is acting as the principal or an agent in the transaction. The Company has determined that it does not act as the principal in the purchase and sale of digital advertising inventory because it does not control the advertising inventory and it does not set the price which is the result of an auction within the marketplace. Based on these and other factors, the Company reports revenue on a net basis.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generally invoices buyers at the end of each month for the full purchase price of ad impressions monetized in that month. Accounts receivable are recorded at the amount of gross billings for the amounts the Company is responsible to collect, and accounts payable are recorded at the net amount payable to publishers. Accordingly, both accounts receivable and accounts payable appear large in relation to revenue reported on a net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revenue consists primarily of data center co-location costs, depreciation expense related to hardware supporting the Company’s platform, amortization expense related to capitalized internal use software development costs, personnel costs, and allocated facilities costs. Personnel costs include salaries, bonuses, stock-based compensation, and employee benefit costs, and are primarily attributable to the Company’s network operations group which maintains the Company’s servers and the Company’s client operations group, which is responsible for integration of new publishers and buyers and providing customer support for existing customers.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 Costs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Technology and development expenses consist primarily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meets the criteria for capitalization. The Company amortizes internal use software development costs that relate to its revenue producing activities on its platform to cost of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expenses. The Company’s advertising costs recorded during the years ended December 31, 2023, 2022 and 2021 were $0.1 million, $0.3 million and $0.5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awards, including stock options, restricted stock units (“RSUs”), and the employee stock purchase plan (the “ESPP”), is measured based on the fair value of the awards granted and recognized as an expense on a straight-line basis over the requisite service period.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and ESPP award is estimated on the grant date using the Black-Scholes option pricing model. The Black-Scholes option pricing model requires the input of highly subjective assumptions, including the fair value of the underlying common stock, the expected term of the award, the expected volatility of the price of our common stock, risk-free interest rates, and the expected dividend yield of our common stock.</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each RSU award is based on the fair value of the underlying common stock as of the grant date.</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assumptions used to determine the fair value of the stock awards represent management’s best estimates. These estimates involve inherent uncertainties and the application of management’s judgment. The Company accounts for forfeitures as they occur. For additional information regarding stock-based compensation and the assumptions used for determining the fair value of stock options and ESPP awards, refer to Note 10—Stockholders’ Equity and Equity Incentive Plans.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of the applicable entity at the rates of exchange in effect at the date of the transaction. Accordingly, all monetary assets and liabilities of these subsidiaries are remeasured at the current exchange rate at each balance sheet date, nonmonetary assets and liabilities are measured at historical rates, and revenue and expenses are remeasured at average exchange rates during the period. Transaction gains and losses are included in other income (expense), net in the accompanying consolidated statements of operations. The Company’s net foreign currency gain (losses) recorded during the years ended December 31, 2023, 2022 and 2021 were $1.5 million, $(0.7) million, and $(0.1)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related to income tax matters as income tax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components of an enterprise for which separate financial information is available and is evaluated regularly by the Company’s chief operating decision maker in deciding how to allocate resources and assessing performance. The Company’s chief operating decision maker is its Chief Executive Officer.</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Chief Executive Officer reviews financial information presented on a consolidated basis, for purposes of allocating resources and evaluating financial performance. The Company has one business activity and there are no segment managers accountable for operations, operating results beyond revenue or gross profit, or plans for levels or components below the consolidated unit level. Accordingly, the Company has one single reporting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 Attributable to Common Stockholders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and diluted net income per share attributable to Class A and Class B common stock is computed in conformity with the two-class method required for participating securities. The Company applies the two-class method to allocate earnings between common and other participating securities based on their participation rights.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No. 2021-08, Business Combinations (Topic 805): Accounting for Contract Assets and Contract Liabilities from Contracts with Customers, which requires contract assets and contract liabilities acquired in a business combination to be recognized and measured in accordance with Topic 606, Revenue from Contracts with Customers, as if the acquirer had originated the contracts. Under previous GAAP, such assets and liabilities were recognized by the acquirer at fair value on the acquisition date. The Company adopted ASU 2021-08 as of January 1, 2023. The adoption of ASU 2021-08 did not have a material impact on the Company’s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Financial Standards Accounting Board (FASB) issued Accounting Standards Update (ASU) 2023-07 "Segment Reporting (Topic 280):Improvements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represents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7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and liabilities measured on a recurring basis by level within the fair value hierarchy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42,126</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r>
      <w:tr>
        <w:trPr>
          <w:trHeight w:val="237"/>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54,654</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r>
      <w:tr>
        <w:trPr>
          <w:trHeight w:val="237"/>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109,363</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151,489</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48,884</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37"/>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53,053</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63,483</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r>
      <w:tr>
        <w:trPr>
          <w:trHeight w:val="237"/>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82,013</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82,013</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86,182</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 1 and Level 2 fair value measurement categories during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by significant investment categories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50,962</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42,878</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96,835</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63,483</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82,013</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remaining contractual maturity of all marketable securities was within one year as of December 31, 2023 and 2022. Realized gains and losses were not material for the years ended December 31, 2023, 2022 and 2021. As of December 31, 2023, and 2022 there were no securities that were in an unrealized loss position for more than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hardware, computer equipment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equipment, and software (excluding amortization of internal use software) was $28.5 million, $23.6 million, and $15.7 million for the years ended December 31, 2023, 2022 and 2021, respectively.</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capitalized $21.3 million, $14.5 million, and $10.3 million in software development costs during the years ended December 31, 2023, 2022 and 2021, respectively. Fully-amortized software development costs of $5.9 million have been removed from internal-use software and accumulated depreciation and amortization for the year ended December 31, 2023. Amortization expense of internal use software was $13.9 million, $10.0 million, and $7.4 million for the years ended December 31, 2023, 2022 and 2021, respectively. These costs are included within cost of revenue in the consolidated statements of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recognize any impairment charges on its long-lived assets during the years ended December 31, 2023,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publishers</w:t>
            </w:r>
          </w:p>
        </w:tc>
        <w:tc>
          <w:tcPr>
            <w:tcW w:w="3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266,506</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accounts payable</w:t>
            </w:r>
          </w:p>
        </w:tc>
        <w:tc>
          <w:tcPr>
            <w:tcW w:w="3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347,673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277,414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3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1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Senior Secured Credit Facilities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 Agreement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17, 2022, the Company entered into a Senior Secured Credit Facilities Credit Agreement (the “Credit Agreement”) with the several lenders parties thereto (the “Lenders”), and Silicon Valley Bank (“SVB”), as administrative agent, lead arranger, issuing lender, and swingline lender.</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9)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Credit Agreement matures on October 17, 2027.</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The Company was in compliance with these covenants as of December 31, 2023.</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use amounts borrowed under the Credit Agreement to refinance the Existing Credit Agreement, for general corporate purposes or working capital financing. The Company may borrow additional amounts under the Credit Agreement from time to time as opportunities and needs arise.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from unrelated parties under operating lease agreements that have initial terms ranging from two to seven years. Included in an office lease the Company also leases furniture and fixtures under a finance lease with a seven year term with a purchase option at the end of the term.</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allocation of lease payments was determined based on the relative standalone price of the separate office and furniture components. Some leases include one or more options to renew, generally at our sole discretion, with renewal terms that can extend the lease term up to five additional years. In addition, certain leases contain termination options, where the rights to terminate are held by either the Company, the lessor, or both parties. These options to extend or terminate a lease are not included in the lease terms as the Company is not reasonably certain that they will exercise that option. The Company’s leases generally do not contain any material restrictive covenants.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consolidated financial statements.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6"/>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0" w:type="dxa"/>
            <w:vAlign w:val="bottom"/>
            <w:gridSpan w:val="6"/>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486"/>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gridSpan w:val="5"/>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21,102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21,843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21"/>
                <w:szCs w:val="21"/>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6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3.7 years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years</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 years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years</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maturities of lease liabilities under operating and finance leases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Business Combination</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16, 2022, the Company acquired all outstanding stock of ConsultMates, Inc. (dba “Martin”), a media measurement and reporting platform, for $30.8 million. The acquisition is in response to growing demand from the Company’s buy-side customers for enhanced tools to take advantage of the Company’s global omnichannel inventory, including market-leading addressability solutions and innovative technology to enable supply path optimization. The assets acquired and liabilities assumed were recorded at fair value. The purchase price excludes $14.2 million of post-acquisition cash compensation arrangements for certain key acquired employees to be paid ratably over three years following the closing of the acquisition (subject to forfeiture upon termination). The purchase price was attributed to $7.9 million of developed technology intangible assets, $1.0 million of customer relationship intangible assets, $23.3 million of goodwill, $1.1 million of deferred tax liabilities, and $0.3 million of net liabilities assumed. The fair value of the acquired developed technology intangible asset was estimated using the excess earnings method. This valuation methodology included an analysis of future class flows expected to be generated by the developed technology intangible asset. The goodwill recognized was primarily attributable to the assembled workforce and the expected synergies from integrating Martin’s technology into the Company’s platform. Goodwill is not deductible for tax purposes. The financial results of Martin are included in the Company’s consolidated financial statements from the date of acquisition. Separate operating results and pro forma results of operations for Martin have not been presented as the effect of this acquisition was not material to the Company’s financial results. Acquisition-related costs were $0.9 million and are included in general and administrative expenses in the consolidated statements of operations for the year ended December 31,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Acquisition-related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as of December 31, 2023 and 2022 was $29.6 million. There were no accumulated impairment losses as of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Intangible Assets,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Acquisition-related intangible assets, net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4"/>
                <w:szCs w:val="14"/>
                <w:color w:val="auto"/>
              </w:rPr>
            </w:pPr>
          </w:p>
        </w:tc>
        <w:tc>
          <w:tcPr>
            <w:tcW w:w="124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2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Useful Life</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37"/>
        </w:trPr>
        <w:tc>
          <w:tcPr>
            <w:tcW w:w="5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2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acquisition-related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2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related to acquisition-related intangibles was $2.4 million and $0.6 million for the years ended December 31, 2023 and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estimated future amortization expense for acquisition-related intangible assets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2024</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7"/>
        </w:trPr>
        <w:tc>
          <w:tcPr>
            <w:tcW w:w="9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rPr>
              <w:t>Total estimated future amortization expense for acquisition-related intangible assets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purchase obligations primarily relate to minimum contractual payments due to data center providers.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commitments for purchase obligations with a remaining term in excess of one year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5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9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63"/>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minimum commitments, net</w:t>
            </w:r>
          </w:p>
        </w:tc>
        <w:tc>
          <w:tcPr>
            <w:tcW w:w="54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542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two irrevocable letters of credit outstanding related to noncancelable facilities leases in the amounts of $0.5 million and $3.5 million, with annual automatic renewal and final expiration dates in April 2025 and July 2028,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 and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board of directors has authorized 1,000,000,000 shares of Class A common stock, $0.0001 par value per share, and 1,000,000,000 shares of Class B common stock, $0.0001 par value per share. The rights of the holders of Class A common stock and Class B common stock are identical, except with respect to voting and conversion rights. Holders of Class A common stock are entitled to one vote and holders of Class B common stock are entitled to ten votes and is convertible into one share of Class A common stock. Each share of Class B is convertible anytime at the option of the holder into one share of Class A common stock. Once converted or transferred and converted into Class A common stock, the Class B common stock will not be reissued.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2023, the Company’s board of directors authorized the Company to repurchase up to $75 million of its Class A common stock (“2023 Repurchase Program”). As of December 31, 2023, $15.7 million remains available for repurchases. Shares are repurchased in a manner deemed in the best interest of the Company and its stockholders, dependent upon business, economic and market conditions, corporate and regulatory requirements, prevailing stock prices and other considerations.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authorization of the Company’s board of directors, during the year ended December 31, 2023, the Company repurchased 4,040,129 aggregate shares of Class A common stock for $59.3 million. The Company recorded an additional $0.3 million related to the 1% excise tax on net share repurchases as a result of the Inflation Reduction Act of 2022 (“IRA”).</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December 31, 2023, the Company has reserved 6,507,867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Company’s stock incentive plans generally vest over four years, subject to the holder’s continued service through the vesting date and expire no later than ten years from the date of grant.</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under the Company’s equity incentive plans (shares and aggregate intrinsic value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3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55,516</w:t>
            </w:r>
          </w:p>
        </w:tc>
        <w:tc>
          <w:tcPr>
            <w:tcW w:w="0" w:type="dxa"/>
            <w:vAlign w:val="bottom"/>
          </w:tcPr>
          <w:p>
            <w:pPr>
              <w:spacing w:after="0"/>
              <w:rPr>
                <w:sz w:val="1"/>
                <w:szCs w:val="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64,803</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the options and the fair market value of our common stock on the date of exercise. The intrinsic value of options exercised was $7.5 million, $6.4 million and $80.7 million for the years ended December 31, 2023, 2022 and 2021, respectively.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of $14.7 million related to unvested stock options will be recognized on a straight-line basis over a weighted average period of 2.27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stock options granted under the Company’s equity incentive plans was estimated using the following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66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$12.56-$16.94</w:t>
            </w:r>
          </w:p>
        </w:tc>
        <w:tc>
          <w:tcPr>
            <w:tcW w:w="1580" w:type="dxa"/>
            <w:vAlign w:val="bottom"/>
            <w:tcBorders>
              <w:bottom w:val="single" w:sz="8" w:color="CCEEFF"/>
            </w:tcBorders>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$18.63-$31.79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$39.75-$54.07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5.0-7.0</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5.8-6.7</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3.5%-4.0%</w:t>
            </w:r>
          </w:p>
        </w:tc>
        <w:tc>
          <w:tcPr>
            <w:tcW w:w="1580" w:type="dxa"/>
            <w:vAlign w:val="bottom"/>
            <w:tcBorders>
              <w:bottom w:val="single" w:sz="8" w:color="CCEEFF"/>
            </w:tcBorders>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8"/>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0.6%-1.0%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55%-59%</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9"/>
              </w:rPr>
              <w:t>54%-57%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51%-54%</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 granted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$8.58</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6"/>
              </w:rPr>
              <w:t>$13.70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$20.30</w:t>
            </w: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assumptions and estimates were determined as follows:</w:t>
      </w:r>
    </w:p>
    <w:p>
      <w:pPr>
        <w:spacing w:after="0" w:line="11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 </w:t>
      </w:r>
      <w:r>
        <w:rPr>
          <w:rFonts w:ascii="Times New Roman" w:cs="Times New Roman" w:eastAsia="Times New Roman" w:hAnsi="Times New Roman"/>
          <w:sz w:val="18"/>
          <w:szCs w:val="18"/>
          <w:color w:val="auto"/>
        </w:rPr>
        <w:t>The fair value of each share of underlying common stock was based on the closing price of the Company’s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as reported on the date of the grant.</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stock-based awards are expected to be outstanding. For option grants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considered to be “plain vanilla,” the Company determines the expected term using the simplified method.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time of grant for zero-coupon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notes with maturities approximately equal to the option’s expected term.</w:t>
      </w:r>
    </w:p>
    <w:p>
      <w:pPr>
        <w:spacing w:after="0" w:line="9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Since the Company has a short trading history of its common stock, the expected volatility is derived from the average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volatilities of several unrelated public companies within the Company’s industry that the Company considers to be comparable to its business over a period equivalent to the expected term of the stock option grants.</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 The expected dividend is assumed to be zero as the Company has never paid dividends and has no current plans to do so.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RSU awards generally vest over four years, subject to the holder’s continued service through the vesting date.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 and related information under the Company’s 2020 Plan: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4"/>
                <w:szCs w:val="14"/>
                <w:color w:val="auto"/>
              </w:rPr>
            </w:pPr>
          </w:p>
        </w:tc>
        <w:tc>
          <w:tcPr>
            <w:tcW w:w="13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Canceled/Forfeited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of $51.5 million related to unvested RSUs will be recognized on a straight-line basis over a weighted average period of 2.67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 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December 31, 2023, the Company has reserved 401,599 shares of its common stock for issuance under the ESPP.</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December 31, 2023, $0.1 million has been withheld on behalf of employees for a future purchase under the ESPP due to the timing of payroll deductions and is included in accrued liabilities. For the twelve months ended December 31, 2023, 128,289 shares of our Class A common stock have been purchased under the ESPP.</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related to the ESPP was $0.4 million, which is expected to be recognized over a weighted-average period of 0.42 years.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fair value of purchase right granted the under the Company’s 2020 Employee Stock Purchase Plan was estimated using the following assumptions: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37"/>
        </w:trPr>
        <w:tc>
          <w:tcPr>
            <w:tcW w:w="66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0.5-1.0</w:t>
            </w:r>
          </w:p>
        </w:tc>
        <w:tc>
          <w:tcPr>
            <w:tcW w:w="1580" w:type="dxa"/>
            <w:vAlign w:val="bottom"/>
            <w:tcBorders>
              <w:bottom w:val="single" w:sz="8" w:color="CCEEFF"/>
            </w:tcBorders>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0.5-1.0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0.4-1.4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5.4%-5.1%</w:t>
            </w:r>
          </w:p>
        </w:tc>
        <w:tc>
          <w:tcPr>
            <w:tcW w:w="158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8"/>
              </w:rPr>
              <w:t>1.6%-2.2%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48%-59%</w:t>
            </w:r>
          </w:p>
        </w:tc>
        <w:tc>
          <w:tcPr>
            <w:tcW w:w="1580" w:type="dxa"/>
            <w:vAlign w:val="bottom"/>
            <w:tcBorders>
              <w:bottom w:val="single" w:sz="8" w:color="CCEEFF"/>
            </w:tcBorders>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9"/>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60%-76%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ESPP represents the period of time that purchase rights are expected to be outstanding.</w:t>
      </w:r>
    </w:p>
    <w:p>
      <w:pPr>
        <w:spacing w:after="0" w:line="11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for the expected term of the awards was based on the U.S. Treasury yield curve in effect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grant.</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volatility is based on the historical volatility of the Company’s Class A common stock over a period equivalent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term of the ESPP purchase rights. In 2021, since the Company had a short trading history of its common stock, the expected volatility was estimated by taking the average historic price volatility of several unrelated public companies within the Company’s industry that the Company considered to be comparable to its business over a period equivalent to the expected term of the awards.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 The expected dividend is assumed to be zero as the Company has never paid dividends and has no current plans to do so.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consolidated statements of operations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from stock-based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23,167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Net Income Per Share Attributable to Common Stockholders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per share (in thousands, except share and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6"/>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00" w:type="dxa"/>
            <w:vAlign w:val="bottom"/>
            <w:gridSpan w:val="6"/>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common stockholders – basic</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51,760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50,184</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r>
      <w:tr>
        <w:trPr>
          <w:trHeight w:val="243"/>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Restricted stock</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3"/>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56,027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 (in thousands):</w:t>
      </w:r>
    </w:p>
    <w:p>
      <w:pPr>
        <w:spacing w:after="0" w:line="4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41910</wp:posOffset>
            </wp:positionV>
            <wp:extent cx="2940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gridSpan w:val="2"/>
          </w:tcPr>
          <w:p>
            <w:pPr>
              <w:ind w:left="7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4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60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equivalents excluded from net income per share attributable to</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tcPr>
          <w:p>
            <w:pPr>
              <w:spacing w:after="0"/>
              <w:rPr>
                <w:sz w:val="17"/>
                <w:szCs w:val="17"/>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7"/>
                <w:szCs w:val="17"/>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4"/>
        </w:trPr>
        <w:tc>
          <w:tcPr>
            <w:tcW w:w="7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common stockholders – diluted</w:t>
            </w: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domestic and foreign components of income before provision for income taxes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provisions for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6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the U.S. federal statutory income tax rate to the Company’s effective tax rate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2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after-tax rate</w:t>
            </w: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(10.38)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1"/>
                <w:szCs w:val="21"/>
                <w:color w:val="auto"/>
              </w:rPr>
            </w:pP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pricing reserve</w:t>
            </w: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0.73</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21"/>
                <w:szCs w:val="21"/>
                <w:color w:val="auto"/>
              </w:rPr>
            </w:pP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21"/>
                <w:szCs w:val="21"/>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0.42</w:t>
            </w: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23.43 %</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12.64 %</w:t>
            </w:r>
          </w:p>
        </w:tc>
      </w:tr>
      <w:tr>
        <w:trPr>
          <w:trHeight w:val="21"/>
        </w:trPr>
        <w:tc>
          <w:tcPr>
            <w:tcW w:w="6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carrying amounts of assets and liabilities for financial reporting purposes and the amounts used for income tax purposes.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Accruals and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equity investment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Intangibles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R&amp;D capitalization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r>
      <w:tr>
        <w:trPr>
          <w:trHeight w:val="243"/>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equity investment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income tax asset (liabilities)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had gross federal and state net operating loss carryforwards of approximately $3.7 million and $0.6 million, respectively, as of December 31, 2023. The federal net operating loss never expires and the state net operating losses will expire at various dates beginning in 2035 if not utilized and may be subject to annual limitations of usage, as promulgated by the Internal Revenue Service, due to ownership changes that may have occurred in the past. As of December 31, 2023, the Company had state research and development credit carryforwards of $4.0 million. The state credits can be carried forward indefinitely.</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of 1986, as amended (“Code”), the Company’s ability to utilize net operating loss carryforwards or other tax attributes, such as research tax credits, in any taxable year may be limited if the Company experiences an “ownership change.” A Section 382 “ownership change” generally occurs if one or more stockholders or groups of stockholders who own at least 5% of the Company’s stock increase their ownership by more than 50 percentage points over their lowest ownership percentage within a rolling three year period. Similar rules may apply under state tax laws. Net operating loss carryforwards and other tax attributes generated are currently not subject to limitation by Section 382, but subsequent changes in the Company’s stock ownership as well as other changes that may be outside of the Company’s control, could result in additional ownership changes under Section 382 of the Code.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Valuation Allowance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Management has determined that there is sufficient positive evidence that a valuation allowance against deferred tax assets is not required as of December 31, 2023 and 2022, except for state research credit carryforwards, starting in 2020, for which realization is not deemed more likely than not given the Company expects to generate more credits in future than can be utilized against projected taxable income.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provided for U.S. deferred taxes on the cumulative earnings of non-U.S. affiliates that have been reinvested indefinitely. The Company will continue to maintain its policy of indefinite reinvestment to the extent that the repatriation of foreign earnings is restricted by local laws, accounting rules, substantial incremental costs associated with repatriating the foreign earnings, or other business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activity related to the unrecognized income tax benefits is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income tax benefits — beginning balance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related to tax positions taken during the prior years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Decreases related to tax positions taken during the prior years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income tax benefits — ending balance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if any, related to uncertain tax positions in its income tax provision. As of December 31, 2023 and 2022, the Company had approximately $0.2 million in each year, respectively, of accrued interest related to uncertain tax positions.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of the $2.6 million of unrecognized income tax benefits would, if recognized, impact the effective tax rate in the period in which each of the benefits is recognized.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U.S., state and foreign income tax returns with varying statutes of limitations. The federal, state, and foreign returns statute of limitations remains open for tax years from 2013 and thereafter. There are currently no income tax audits involving any U.S. states or foreign tax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Geographical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revenue by geographic area based on the publisher’s billing address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158,110</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20,910</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long-lived assets by geographic area, which includes property and equipment, net, and operating lease right-of-use assets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68,299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81,831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401(k) Plan</w:t>
      </w:r>
    </w:p>
    <w:p>
      <w:pPr>
        <w:spacing w:after="0" w:line="121"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$1.3 million and $1.2 million matching contribution to the 401(k) Plan for the year ended December 31, 2023 and 2022, respectively.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22, 2024, the Company’s Board of Directors authorized a program for the repurchase of up to an additional $100 million of its Class A common stock (“2024 Repurchase Program”), in addition to the $75.0 million repurchase program previously authorized by the Company’s Board of Directors on February 28, 2023 (the “2023 Repurchase Program”). As of February 22, 2024, there was $8.2 million authorized and available from the 2023 Repurchase Program. Accordingly, the Company has a collective total of $108.2 million authorized and available for repurchases of its Class A common stock as of February 22, 2024 under the 2023 Repurchase Program and 2024 Repurchase Program. Pursuant to the 2024 Repurchase Program, the Company is authorized to repurchase shares in the open market and/or in privately negotiated transactions, in accordance with Rule 10b-18 and/or Rule 10b5-1 of the Exchange Act. The timing and total amount of the repurchases will depend upon business, economic and market conditions, corporate and regulatory requirements, prevailing stock prices and other considerations. The 2024 Repurchase Program is scheduled to terminate on December 31,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management conducted an assessment of the effectiveness our internal control over financial reporting based on criteria established in Internal Control – Integrated Framework (2013) issued by the Committee of Sponsoring Organizations of the Treadway Commission. Our management has concluded that our internal control over financial reporting was effective as of December 31, 2023 to provide reasonable assurance regarding the reliability of financial reporting and the preparation of financial statements in accordance with U.S. GAAP.</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Deloitte and Touche, LLP, an independent registered public accounting firm, as stated in their report, which is included in Item 8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December 31, 2023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is not intended to provide absolute assurance that a misstatement of our consolidated financial statements would be prevented or detected.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Trading Plans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quarter ended December 31, 2023, the following trading plans were adopted or terminated:</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Trading Arrangement</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Non-Rule 10b5-</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Shares to</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1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14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Action</w:t>
            </w:r>
          </w:p>
        </w:tc>
        <w:tc>
          <w:tcPr>
            <w:tcW w:w="14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1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Rule 10b5-1*</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be Sold</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Expiration Date</w:t>
            </w:r>
          </w:p>
        </w:tc>
        <w:tc>
          <w:tcPr>
            <w:tcW w:w="0" w:type="dxa"/>
            <w:vAlign w:val="bottom"/>
          </w:tcPr>
          <w:p>
            <w:pPr>
              <w:spacing w:after="0"/>
              <w:rPr>
                <w:sz w:val="1"/>
                <w:szCs w:val="1"/>
                <w:color w:val="auto"/>
              </w:rPr>
            </w:pPr>
          </w:p>
        </w:tc>
      </w:tr>
      <w:tr>
        <w:trPr>
          <w:trHeight w:val="227"/>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Amar Goel</w:t>
            </w:r>
          </w:p>
        </w:tc>
        <w:tc>
          <w:tcPr>
            <w:tcW w:w="100" w:type="dxa"/>
            <w:vAlign w:val="bottom"/>
          </w:tcPr>
          <w:p>
            <w:pPr>
              <w:spacing w:after="0"/>
              <w:rPr>
                <w:sz w:val="19"/>
                <w:szCs w:val="19"/>
                <w:color w:val="auto"/>
              </w:rPr>
            </w:pPr>
          </w:p>
        </w:tc>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Innovation</w:t>
            </w:r>
          </w:p>
        </w:tc>
        <w:tc>
          <w:tcPr>
            <w:tcW w:w="100" w:type="dxa"/>
            <w:vAlign w:val="bottom"/>
          </w:tcPr>
          <w:p>
            <w:pPr>
              <w:spacing w:after="0"/>
              <w:rPr>
                <w:sz w:val="19"/>
                <w:szCs w:val="19"/>
                <w:color w:val="auto"/>
              </w:rPr>
            </w:pPr>
          </w:p>
        </w:tc>
        <w:tc>
          <w:tcPr>
            <w:tcW w:w="1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Adopted</w:t>
            </w:r>
          </w:p>
        </w:tc>
        <w:tc>
          <w:tcPr>
            <w:tcW w:w="100" w:type="dxa"/>
            <w:vAlign w:val="bottom"/>
            <w:vMerge w:val="restart"/>
          </w:tcPr>
          <w:p>
            <w:pPr>
              <w:spacing w:after="0"/>
              <w:rPr>
                <w:sz w:val="19"/>
                <w:szCs w:val="19"/>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12/5/2023</w:t>
            </w:r>
          </w:p>
        </w:tc>
        <w:tc>
          <w:tcPr>
            <w:tcW w:w="80" w:type="dxa"/>
            <w:vAlign w:val="bottom"/>
          </w:tcPr>
          <w:p>
            <w:pPr>
              <w:spacing w:after="0"/>
              <w:rPr>
                <w:sz w:val="19"/>
                <w:szCs w:val="19"/>
                <w:color w:val="auto"/>
              </w:rPr>
            </w:pPr>
          </w:p>
        </w:tc>
        <w:tc>
          <w:tcPr>
            <w:tcW w:w="13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35"/>
                <w:szCs w:val="35"/>
                <w:color w:val="auto"/>
                <w:w w:val="94"/>
                <w:vertAlign w:val="subscript"/>
              </w:rPr>
              <w:t>X</w:t>
            </w:r>
            <w:r>
              <w:rPr>
                <w:rFonts w:ascii="Times New Roman" w:cs="Times New Roman" w:eastAsia="Times New Roman" w:hAnsi="Times New Roman"/>
                <w:sz w:val="12"/>
                <w:szCs w:val="12"/>
                <w:color w:val="auto"/>
                <w:w w:val="94"/>
              </w:rPr>
              <w:t xml:space="preserve"> (1)</w:t>
            </w:r>
          </w:p>
        </w:tc>
        <w:tc>
          <w:tcPr>
            <w:tcW w:w="100" w:type="dxa"/>
            <w:vAlign w:val="bottom"/>
            <w:vMerge w:val="restart"/>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255,137</w:t>
            </w:r>
          </w:p>
        </w:tc>
        <w:tc>
          <w:tcPr>
            <w:tcW w:w="80" w:type="dxa"/>
            <w:vAlign w:val="bottom"/>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1/31/2025</w:t>
            </w:r>
          </w:p>
        </w:tc>
        <w:tc>
          <w:tcPr>
            <w:tcW w:w="0" w:type="dxa"/>
            <w:vAlign w:val="bottom"/>
          </w:tcPr>
          <w:p>
            <w:pPr>
              <w:spacing w:after="0"/>
              <w:rPr>
                <w:sz w:val="1"/>
                <w:szCs w:val="1"/>
                <w:color w:val="auto"/>
              </w:rPr>
            </w:pPr>
          </w:p>
        </w:tc>
      </w:tr>
      <w:tr>
        <w:trPr>
          <w:trHeight w:val="242"/>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3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Intended to satisfy the affirmative defense of Rule 10b5-1(c).</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Not intended to satisfy the affirmative defense of Rule 10b5-1(c).</w:t>
      </w:r>
    </w:p>
    <w:p>
      <w:pPr>
        <w:spacing w:after="0" w:line="113" w:lineRule="exact"/>
        <w:rPr>
          <w:sz w:val="20"/>
          <w:szCs w:val="20"/>
          <w:color w:val="auto"/>
        </w:rPr>
      </w:pPr>
    </w:p>
    <w:p>
      <w:pPr>
        <w:jc w:val="both"/>
        <w:ind w:left="660" w:hanging="328"/>
        <w:spacing w:after="0" w:line="263"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10b5-1 plan included a representation from the officer to the broker administering the plan that they were not in possession of any material nonpublic information regarding the Company or the securities subject to the plan. A similar representation was made to the Company in connection with the adoption of the plan under the Company’s insider trading policy. Those representations were made as of the date of adoption of the 10b5-1 plan, and speak only as of that date. In making those representations, there is no assurance with respect to any material non-public information of which the officer was unaware, or with respect to any material non-public information acquired by the officer or the Company after the date of the representation.</w:t>
      </w:r>
    </w:p>
    <w:p>
      <w:pPr>
        <w:spacing w:after="0" w:line="71" w:lineRule="exact"/>
        <w:rPr>
          <w:rFonts w:ascii="Times New Roman" w:cs="Times New Roman" w:eastAsia="Times New Roman" w:hAnsi="Times New Roman"/>
          <w:sz w:val="16"/>
          <w:szCs w:val="16"/>
          <w:color w:val="auto"/>
        </w:rPr>
      </w:pPr>
    </w:p>
    <w:p>
      <w:pPr>
        <w:jc w:val="both"/>
        <w:ind w:left="660" w:hanging="328"/>
        <w:spacing w:after="0" w:line="269"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 shares underlying Mr. Goel's RSUs without excluding the shares that will be sold to satisfy the tax withholding obligations in addition to shares held in Trust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including our principal executive officer, principal financial officer and principal accounting officer, and our board of directors. A copy of this code, “Code of Business Conduct and Ethics,” is available on our website at https://investors.pubmatic.com under the section titled “Governance.” Any amendments or waivers of our Code of Business Conduct and Ethics pertaining to one of our executive officers or a member of our board of directors will be disclosed on the website address and location specified above.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other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a part of this Annual Report on Form 10-K:</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1) Financial Statements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present or not present in amounts sufficient to require submission of the schedules, or because the information required is included in Item 8, entitled “Consolidated Financial Statements and Supplementary Data.”</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required to be filed as part of this report are: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58"/>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78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Agreement and Plan of Merger, dated as of September 14, 2022, by</w:t>
              </w:r>
            </w:hyperlink>
          </w:p>
        </w:tc>
        <w:tc>
          <w:tcPr>
            <w:tcW w:w="160" w:type="dxa"/>
            <w:vAlign w:val="bottom"/>
            <w:gridSpan w:val="2"/>
          </w:tcPr>
          <w:p>
            <w:pPr>
              <w:spacing w:after="0"/>
              <w:rPr>
                <w:sz w:val="19"/>
                <w:szCs w:val="19"/>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September 14, 2022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3"/>
          </w:tcPr>
          <w:p>
            <w:pPr>
              <w:spacing w:after="0" w:line="183"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and among the Registrant, Marlin Acquisition Sub, Inc., and</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4"/>
          </w:tcPr>
          <w:p>
            <w:pPr>
              <w:spacing w:after="0" w:line="183" w:lineRule="exact"/>
              <w:rPr>
                <w:rFonts w:ascii="Times New Roman" w:cs="Times New Roman" w:eastAsia="Times New Roman" w:hAnsi="Times New Roman"/>
                <w:sz w:val="17"/>
                <w:szCs w:val="17"/>
                <w:color w:val="0000FF"/>
                <w:w w:val="99"/>
              </w:rPr>
            </w:pPr>
            <w:hyperlink r:id="rId113">
              <w:r>
                <w:rPr>
                  <w:rFonts w:ascii="Times New Roman" w:cs="Times New Roman" w:eastAsia="Times New Roman" w:hAnsi="Times New Roman"/>
                  <w:sz w:val="17"/>
                  <w:szCs w:val="17"/>
                  <w:color w:val="0000FF"/>
                  <w:w w:val="99"/>
                </w:rPr>
                <w:t>ConsultMates, Inc.</w:t>
              </w:r>
            </w:hyperlink>
          </w:p>
        </w:tc>
        <w:tc>
          <w:tcPr>
            <w:tcW w:w="2820" w:type="dxa"/>
            <w:vAlign w:val="bottom"/>
            <w:tcBorders>
              <w:top w:val="single" w:sz="8" w:color="0000FF"/>
            </w:tcBorders>
            <w:gridSpan w:val="10"/>
          </w:tcPr>
          <w:p>
            <w:pPr>
              <w:spacing w:after="0"/>
              <w:rPr>
                <w:sz w:val="15"/>
                <w:szCs w:val="15"/>
                <w:color w:val="auto"/>
              </w:rPr>
            </w:pPr>
          </w:p>
        </w:tc>
        <w:tc>
          <w:tcPr>
            <w:tcW w:w="660" w:type="dxa"/>
            <w:vAlign w:val="bottom"/>
            <w:gridSpan w:val="9"/>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w w:val="99"/>
              </w:rPr>
            </w:pPr>
            <w:hyperlink r:id="rId114">
              <w:r>
                <w:rPr>
                  <w:rFonts w:ascii="Times New Roman" w:cs="Times New Roman" w:eastAsia="Times New Roman" w:hAnsi="Times New Roman"/>
                  <w:sz w:val="17"/>
                  <w:szCs w:val="17"/>
                  <w:color w:val="0000FF"/>
                  <w:w w:val="99"/>
                </w:rPr>
                <w:t>Restated Certificate of Incorporation.</w:t>
              </w:r>
            </w:hyperlink>
          </w:p>
        </w:tc>
        <w:tc>
          <w:tcPr>
            <w:tcW w:w="2220" w:type="dxa"/>
            <w:vAlign w:val="bottom"/>
            <w:gridSpan w:val="14"/>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26,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3"/>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Amended and Restated Bylaws.</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28, 2023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Form of Class A Common Stock Certificate.</w:t>
              </w:r>
            </w:hyperlink>
          </w:p>
        </w:tc>
        <w:tc>
          <w:tcPr>
            <w:tcW w:w="1720" w:type="dxa"/>
            <w:vAlign w:val="bottom"/>
            <w:gridSpan w:val="10"/>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Sixth Amended and Restated Investors’ Rights Agreement, dated</w:t>
              </w:r>
            </w:hyperlink>
          </w:p>
        </w:tc>
        <w:tc>
          <w:tcPr>
            <w:tcW w:w="320" w:type="dxa"/>
            <w:vAlign w:val="bottom"/>
            <w:gridSpan w:val="4"/>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3"/>
          </w:tcPr>
          <w:p>
            <w:pPr>
              <w:spacing w:after="0" w:line="18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October 1, 2020, by and among the Registrant and certain of its</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16"/>
          </w:tcPr>
          <w:p>
            <w:pPr>
              <w:spacing w:after="0" w:line="18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stockholders.</w:t>
              </w:r>
            </w:hyperlink>
          </w:p>
        </w:tc>
        <w:tc>
          <w:tcPr>
            <w:tcW w:w="440" w:type="dxa"/>
            <w:vAlign w:val="bottom"/>
            <w:gridSpan w:val="7"/>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3"/>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Description of the Registrant’s Securities</w:t>
              </w:r>
            </w:hyperlink>
            <w:r>
              <w:rPr>
                <w:rFonts w:ascii="Times New Roman" w:cs="Times New Roman" w:eastAsia="Times New Roman" w:hAnsi="Times New Roman"/>
                <w:sz w:val="17"/>
                <w:szCs w:val="17"/>
                <w:color w:val="000000"/>
              </w:rPr>
              <w: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26,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7"/>
                <w:szCs w:val="17"/>
                <w:color w:val="0000FF"/>
                <w:w w:val="99"/>
              </w:rPr>
            </w:pPr>
            <w:hyperlink r:id="rId119">
              <w:r>
                <w:rPr>
                  <w:rFonts w:ascii="Times New Roman" w:cs="Times New Roman" w:eastAsia="Times New Roman" w:hAnsi="Times New Roman"/>
                  <w:sz w:val="17"/>
                  <w:szCs w:val="17"/>
                  <w:color w:val="0000FF"/>
                  <w:w w:val="99"/>
                </w:rPr>
                <w:t>Form of Indemnification Agreement.</w:t>
              </w:r>
            </w:hyperlink>
          </w:p>
        </w:tc>
        <w:tc>
          <w:tcPr>
            <w:tcW w:w="280" w:type="dxa"/>
            <w:vAlign w:val="bottom"/>
            <w:tcBorders>
              <w:top w:val="single" w:sz="8" w:color="0000FF"/>
            </w:tcBorders>
            <w:gridSpan w:val="3"/>
          </w:tcPr>
          <w:p>
            <w:pPr>
              <w:spacing w:after="0"/>
              <w:rPr>
                <w:sz w:val="24"/>
                <w:szCs w:val="24"/>
                <w:color w:val="auto"/>
              </w:rPr>
            </w:pPr>
          </w:p>
        </w:tc>
        <w:tc>
          <w:tcPr>
            <w:tcW w:w="1960" w:type="dxa"/>
            <w:vAlign w:val="bottom"/>
            <w:gridSpan w:val="12"/>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2006</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Stock Option Plan, as amended.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2017</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Equity Incentive Plan, as amended.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2020</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Equity Incentive Plan</w:t>
              </w:r>
            </w:hyperlink>
            <w:r>
              <w:rPr>
                <w:rFonts w:ascii="Times New Roman" w:cs="Times New Roman" w:eastAsia="Times New Roman" w:hAnsi="Times New Roman"/>
                <w:sz w:val="17"/>
                <w:szCs w:val="17"/>
                <w:color w:val="000000"/>
              </w:rPr>
              <w: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10.5*</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2019</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10.6*</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2020</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26,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10.7*†</w:t>
            </w: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2021</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10.8*</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2022</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March 1,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10.9*</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2023</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February 28, 2023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10.10*</w:t>
            </w:r>
          </w:p>
        </w:tc>
        <w:tc>
          <w:tcPr>
            <w:tcW w:w="10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2024</w:t>
            </w:r>
          </w:p>
        </w:tc>
        <w:tc>
          <w:tcPr>
            <w:tcW w:w="44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Executive Bonus Plan.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10.11*</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2020</w:t>
              </w:r>
            </w:hyperlink>
          </w:p>
        </w:tc>
        <w:tc>
          <w:tcPr>
            <w:tcW w:w="4400" w:type="dxa"/>
            <w:vAlign w:val="bottom"/>
            <w:gridSpan w:val="22"/>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Employee Stock Purchase Plan, and form of subscription</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17"/>
                <w:szCs w:val="17"/>
                <w:color w:val="0000FF"/>
                <w:w w:val="98"/>
              </w:rPr>
            </w:pPr>
            <w:hyperlink r:id="rId128">
              <w:r>
                <w:rPr>
                  <w:rFonts w:ascii="Times New Roman" w:cs="Times New Roman" w:eastAsia="Times New Roman" w:hAnsi="Times New Roman"/>
                  <w:sz w:val="17"/>
                  <w:szCs w:val="17"/>
                  <w:color w:val="0000FF"/>
                  <w:w w:val="98"/>
                </w:rPr>
                <w:t>agreement.</w:t>
              </w:r>
            </w:hyperlink>
          </w:p>
        </w:tc>
        <w:tc>
          <w:tcPr>
            <w:tcW w:w="3520" w:type="dxa"/>
            <w:vAlign w:val="bottom"/>
            <w:tcBorders>
              <w:top w:val="single" w:sz="8" w:color="0000FF"/>
            </w:tcBorders>
            <w:gridSpan w:val="13"/>
          </w:tcPr>
          <w:p>
            <w:pPr>
              <w:spacing w:after="0"/>
              <w:rPr>
                <w:sz w:val="15"/>
                <w:szCs w:val="15"/>
                <w:color w:val="auto"/>
              </w:rPr>
            </w:pPr>
          </w:p>
        </w:tc>
        <w:tc>
          <w:tcPr>
            <w:tcW w:w="500" w:type="dxa"/>
            <w:vAlign w:val="bottom"/>
            <w:gridSpan w:val="8"/>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Executive Deferred Compensation Plan.</w:t>
              </w:r>
            </w:hyperlink>
          </w:p>
        </w:tc>
        <w:tc>
          <w:tcPr>
            <w:tcW w:w="1980" w:type="dxa"/>
            <w:vAlign w:val="bottom"/>
            <w:gridSpan w:val="13"/>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3"/>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Amended and Restated Employment Agreement, effective as of</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12"/>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3"/>
          </w:tcPr>
          <w:p>
            <w:pPr>
              <w:spacing w:after="0" w:line="183"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December 18, 2017, by and between the Registrant and Rajeev K.</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7"/>
                <w:szCs w:val="17"/>
                <w:color w:val="0000FF"/>
                <w:w w:val="96"/>
              </w:rPr>
            </w:pPr>
            <w:hyperlink r:id="rId130">
              <w:r>
                <w:rPr>
                  <w:rFonts w:ascii="Times New Roman" w:cs="Times New Roman" w:eastAsia="Times New Roman" w:hAnsi="Times New Roman"/>
                  <w:sz w:val="17"/>
                  <w:szCs w:val="17"/>
                  <w:color w:val="0000FF"/>
                  <w:w w:val="96"/>
                </w:rPr>
                <w:t>Goel.</w:t>
              </w:r>
            </w:hyperlink>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w w:val="99"/>
              </w:rPr>
            </w:pPr>
            <w:hyperlink r:id="rId131">
              <w:r>
                <w:rPr>
                  <w:rFonts w:ascii="Times New Roman" w:cs="Times New Roman" w:eastAsia="Times New Roman" w:hAnsi="Times New Roman"/>
                  <w:sz w:val="17"/>
                  <w:szCs w:val="17"/>
                  <w:color w:val="0000FF"/>
                  <w:w w:val="99"/>
                </w:rPr>
                <w:t>Offer Letter, effective as of October 1, 2016, by and between the</w:t>
              </w:r>
            </w:hyperlink>
          </w:p>
        </w:tc>
        <w:tc>
          <w:tcPr>
            <w:tcW w:w="360" w:type="dxa"/>
            <w:vAlign w:val="bottom"/>
            <w:gridSpan w:val="5"/>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0000FF"/>
            </w:tcBorders>
            <w:gridSpan w:val="12"/>
          </w:tcPr>
          <w:p>
            <w:pPr>
              <w:spacing w:after="0" w:line="183" w:lineRule="exact"/>
              <w:rPr>
                <w:rFonts w:ascii="Times New Roman" w:cs="Times New Roman" w:eastAsia="Times New Roman" w:hAnsi="Times New Roman"/>
                <w:sz w:val="17"/>
                <w:szCs w:val="17"/>
                <w:color w:val="0000FF"/>
                <w:w w:val="99"/>
              </w:rPr>
            </w:pPr>
            <w:hyperlink r:id="rId131">
              <w:r>
                <w:rPr>
                  <w:rFonts w:ascii="Times New Roman" w:cs="Times New Roman" w:eastAsia="Times New Roman" w:hAnsi="Times New Roman"/>
                  <w:sz w:val="17"/>
                  <w:szCs w:val="17"/>
                  <w:color w:val="0000FF"/>
                  <w:w w:val="99"/>
                </w:rPr>
                <w:t>Registrant and Amar K. Goel, as amended.</w:t>
              </w:r>
            </w:hyperlink>
          </w:p>
        </w:tc>
        <w:tc>
          <w:tcPr>
            <w:tcW w:w="1840" w:type="dxa"/>
            <w:vAlign w:val="bottom"/>
            <w:gridSpan w:val="11"/>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80" w:type="dxa"/>
            <w:vAlign w:val="bottom"/>
            <w:gridSpan w:val="33"/>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2"/>
        </w:trPr>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8"/>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Employment Agreement, effective as of November 7,2011, by and</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14"/>
          </w:tcPr>
          <w:p>
            <w:pPr>
              <w:spacing w:after="0" w:line="18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between the Registrant and Steven Pantelick, as amended.</w:t>
              </w:r>
            </w:hyperlink>
          </w:p>
        </w:tc>
        <w:tc>
          <w:tcPr>
            <w:tcW w:w="560" w:type="dxa"/>
            <w:vAlign w:val="bottom"/>
            <w:tcBorders>
              <w:top w:val="single" w:sz="8" w:color="0000FF"/>
            </w:tcBorders>
            <w:gridSpan w:val="12"/>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bottom w:val="single" w:sz="8" w:color="0000FF"/>
            </w:tcBorders>
            <w:gridSpan w:val="10"/>
          </w:tcPr>
          <w:p>
            <w:pPr>
              <w:spacing w:after="0" w:line="183" w:lineRule="exact"/>
              <w:rPr>
                <w:rFonts w:ascii="Times New Roman" w:cs="Times New Roman" w:eastAsia="Times New Roman" w:hAnsi="Times New Roman"/>
                <w:sz w:val="17"/>
                <w:szCs w:val="17"/>
                <w:color w:val="0000FF"/>
                <w:w w:val="99"/>
              </w:rPr>
            </w:pPr>
            <w:hyperlink r:id="rId134">
              <w:r>
                <w:rPr>
                  <w:rFonts w:ascii="Times New Roman" w:cs="Times New Roman" w:eastAsia="Times New Roman" w:hAnsi="Times New Roman"/>
                  <w:sz w:val="17"/>
                  <w:szCs w:val="17"/>
                  <w:color w:val="0000FF"/>
                  <w:w w:val="99"/>
                </w:rPr>
                <w:t>between the Registrant and Rajeev K. Goel.</w:t>
              </w:r>
            </w:hyperlink>
          </w:p>
        </w:tc>
        <w:tc>
          <w:tcPr>
            <w:tcW w:w="1680" w:type="dxa"/>
            <w:vAlign w:val="bottom"/>
            <w:gridSpan w:val="23"/>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0000FF"/>
            </w:tcBorders>
            <w:gridSpan w:val="9"/>
          </w:tcPr>
          <w:p>
            <w:pPr>
              <w:spacing w:after="0" w:line="18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between the Registrant and Amar K. Goel.</w:t>
              </w:r>
            </w:hyperlink>
          </w:p>
        </w:tc>
        <w:tc>
          <w:tcPr>
            <w:tcW w:w="1740" w:type="dxa"/>
            <w:vAlign w:val="bottom"/>
            <w:gridSpan w:val="24"/>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between the Registrant and Steven Pantelick.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bottom w:val="single" w:sz="8" w:color="0000FF"/>
            </w:tcBorders>
            <w:gridSpan w:val="8"/>
          </w:tcPr>
          <w:p>
            <w:pPr>
              <w:spacing w:after="0" w:line="18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between the Registrant and Jeffrey Hirsch.</w:t>
              </w:r>
            </w:hyperlink>
          </w:p>
        </w:tc>
        <w:tc>
          <w:tcPr>
            <w:tcW w:w="1760" w:type="dxa"/>
            <w:vAlign w:val="bottom"/>
            <w:gridSpan w:val="25"/>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between the Registrant and Mukul Kumar.</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28"/>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Third Amended and Restated Loan and Security Agreement, dated</w:t>
              </w:r>
            </w:hyperlink>
          </w:p>
        </w:tc>
        <w:tc>
          <w:tcPr>
            <w:tcW w:w="100" w:type="dxa"/>
            <w:vAlign w:val="bottom"/>
            <w:gridSpan w:val="5"/>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November 7, 2017, by and between the Registrant and Silicon</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20"/>
          </w:tcPr>
          <w:p>
            <w:pPr>
              <w:spacing w:after="0" w:line="18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Valley Bank, as amended.</w:t>
              </w:r>
            </w:hyperlink>
          </w:p>
        </w:tc>
        <w:tc>
          <w:tcPr>
            <w:tcW w:w="440" w:type="dxa"/>
            <w:vAlign w:val="bottom"/>
            <w:gridSpan w:val="1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Second Amendment to Third Amended and Restated Loan and</w:t>
              </w:r>
            </w:hyperlink>
          </w:p>
        </w:tc>
        <w:tc>
          <w:tcPr>
            <w:tcW w:w="380" w:type="dxa"/>
            <w:vAlign w:val="bottom"/>
            <w:gridSpan w:val="10"/>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FF"/>
            </w:tcBorders>
            <w:gridSpan w:val="22"/>
          </w:tcPr>
          <w:p>
            <w:pPr>
              <w:spacing w:after="0" w:line="18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Security Agreement, dated March 4, 2021, by and between the</w:t>
              </w:r>
            </w:hyperlink>
          </w:p>
        </w:tc>
        <w:tc>
          <w:tcPr>
            <w:tcW w:w="400" w:type="dxa"/>
            <w:vAlign w:val="bottom"/>
            <w:gridSpan w:val="11"/>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Registrant and Silicon Valley Bank.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Third Amendment to Third Amended and Restated Loan and</w:t>
              </w:r>
            </w:hyperlink>
          </w:p>
        </w:tc>
        <w:tc>
          <w:tcPr>
            <w:tcW w:w="500" w:type="dxa"/>
            <w:vAlign w:val="bottom"/>
            <w:gridSpan w:val="15"/>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19"/>
          </w:tcPr>
          <w:p>
            <w:pPr>
              <w:spacing w:after="0" w:line="18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Security Agreement, dated April 6, 2021, by and between the</w:t>
              </w:r>
            </w:hyperlink>
          </w:p>
        </w:tc>
        <w:tc>
          <w:tcPr>
            <w:tcW w:w="480" w:type="dxa"/>
            <w:vAlign w:val="bottom"/>
            <w:gridSpan w:val="14"/>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Company and Silicon Valley Bank.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Fourth Amendment to Third Amended and Restated Loan and</w:t>
              </w:r>
            </w:hyperlink>
          </w:p>
        </w:tc>
        <w:tc>
          <w:tcPr>
            <w:tcW w:w="420" w:type="dxa"/>
            <w:vAlign w:val="bottom"/>
            <w:gridSpan w:val="12"/>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Security Agreement, dated June 4, 2021, by and between the</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tcBorders>
            <w:gridSpan w:val="17"/>
          </w:tcPr>
          <w:p>
            <w:pPr>
              <w:spacing w:after="0" w:line="18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Registrant and Silicon Valley Bank.</w:t>
              </w:r>
            </w:hyperlink>
          </w:p>
        </w:tc>
        <w:tc>
          <w:tcPr>
            <w:tcW w:w="540" w:type="dxa"/>
            <w:vAlign w:val="bottom"/>
            <w:gridSpan w:val="16"/>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10.25†</w:t>
            </w:r>
          </w:p>
        </w:tc>
        <w:tc>
          <w:tcPr>
            <w:tcW w:w="20" w:type="dxa"/>
            <w:vAlign w:val="bottom"/>
          </w:tcPr>
          <w:p>
            <w:pPr>
              <w:spacing w:after="0"/>
              <w:rPr>
                <w:sz w:val="24"/>
                <w:szCs w:val="24"/>
                <w:color w:val="auto"/>
              </w:rPr>
            </w:pPr>
          </w:p>
        </w:tc>
        <w:tc>
          <w:tcPr>
            <w:tcW w:w="4680" w:type="dxa"/>
            <w:vAlign w:val="bottom"/>
            <w:gridSpan w:val="33"/>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Google Exchange Integration Agreement, dated May 14, 2018, by</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tcBorders>
              <w:top w:val="single" w:sz="8" w:color="0000FF"/>
            </w:tcBorders>
            <w:gridSpan w:val="25"/>
          </w:tcPr>
          <w:p>
            <w:pPr>
              <w:spacing w:after="0" w:line="18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and between the Registrant and Google Inc, as amended.</w:t>
              </w:r>
            </w:hyperlink>
          </w:p>
        </w:tc>
        <w:tc>
          <w:tcPr>
            <w:tcW w:w="160" w:type="dxa"/>
            <w:vAlign w:val="bottom"/>
            <w:gridSpan w:val="8"/>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10.26†</w:t>
            </w:r>
          </w:p>
        </w:tc>
        <w:tc>
          <w:tcPr>
            <w:tcW w:w="20" w:type="dxa"/>
            <w:vAlign w:val="bottom"/>
          </w:tcPr>
          <w:p>
            <w:pPr>
              <w:spacing w:after="0"/>
              <w:rPr>
                <w:sz w:val="24"/>
                <w:szCs w:val="24"/>
                <w:color w:val="auto"/>
              </w:rPr>
            </w:pPr>
          </w:p>
        </w:tc>
        <w:tc>
          <w:tcPr>
            <w:tcW w:w="4660" w:type="dxa"/>
            <w:vAlign w:val="bottom"/>
            <w:tcBorders>
              <w:bottom w:val="single" w:sz="8" w:color="0000FF"/>
            </w:tcBorders>
            <w:gridSpan w:val="32"/>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PubMatic Demand Partner Agreement, dated November 5, 2011, by</w:t>
              </w:r>
            </w:hyperlink>
          </w:p>
        </w:tc>
        <w:tc>
          <w:tcPr>
            <w:tcW w:w="20" w:type="dxa"/>
            <w:vAlign w:val="bottom"/>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FF"/>
            </w:tcBorders>
            <w:gridSpan w:val="27"/>
          </w:tcPr>
          <w:p>
            <w:pPr>
              <w:spacing w:after="0" w:line="183" w:lineRule="exact"/>
              <w:rPr>
                <w:rFonts w:ascii="Times New Roman" w:cs="Times New Roman" w:eastAsia="Times New Roman" w:hAnsi="Times New Roman"/>
                <w:sz w:val="17"/>
                <w:szCs w:val="17"/>
                <w:color w:val="0000FF"/>
                <w:w w:val="99"/>
              </w:rPr>
            </w:pPr>
            <w:hyperlink r:id="rId144">
              <w:r>
                <w:rPr>
                  <w:rFonts w:ascii="Times New Roman" w:cs="Times New Roman" w:eastAsia="Times New Roman" w:hAnsi="Times New Roman"/>
                  <w:sz w:val="17"/>
                  <w:szCs w:val="17"/>
                  <w:color w:val="0000FF"/>
                  <w:w w:val="99"/>
                </w:rPr>
                <w:t>and between the Registrant and The Trade Desk, Inc., as amended.</w:t>
              </w:r>
            </w:hyperlink>
          </w:p>
        </w:tc>
        <w:tc>
          <w:tcPr>
            <w:tcW w:w="120" w:type="dxa"/>
            <w:vAlign w:val="bottom"/>
            <w:gridSpan w:val="6"/>
          </w:tcPr>
          <w:p>
            <w:pPr>
              <w:spacing w:after="0"/>
              <w:rPr>
                <w:sz w:val="15"/>
                <w:szCs w:val="15"/>
                <w:color w:val="auto"/>
              </w:rPr>
            </w:pPr>
          </w:p>
        </w:tc>
      </w:tr>
      <w:tr>
        <w:trPr>
          <w:trHeight w:val="29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10.27†</w:t>
            </w:r>
          </w:p>
        </w:tc>
        <w:tc>
          <w:tcPr>
            <w:tcW w:w="20" w:type="dxa"/>
            <w:vAlign w:val="bottom"/>
          </w:tcPr>
          <w:p>
            <w:pPr>
              <w:spacing w:after="0"/>
              <w:rPr>
                <w:sz w:val="24"/>
                <w:szCs w:val="24"/>
                <w:color w:val="auto"/>
              </w:rPr>
            </w:pPr>
          </w:p>
        </w:tc>
        <w:tc>
          <w:tcPr>
            <w:tcW w:w="4680" w:type="dxa"/>
            <w:vAlign w:val="bottom"/>
            <w:gridSpan w:val="33"/>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Yahoo Ad Exchange Agreement - Media Buyer, effective as of</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tcBorders>
              <w:bottom w:val="single" w:sz="8" w:color="0000FF"/>
            </w:tcBorders>
            <w:gridSpan w:val="31"/>
          </w:tcPr>
          <w:p>
            <w:pPr>
              <w:spacing w:after="0" w:line="183" w:lineRule="exact"/>
              <w:rPr>
                <w:rFonts w:ascii="Times New Roman" w:cs="Times New Roman" w:eastAsia="Times New Roman" w:hAnsi="Times New Roman"/>
                <w:sz w:val="17"/>
                <w:szCs w:val="17"/>
                <w:color w:val="0000FF"/>
                <w:w w:val="99"/>
              </w:rPr>
            </w:pPr>
            <w:hyperlink r:id="rId145">
              <w:r>
                <w:rPr>
                  <w:rFonts w:ascii="Times New Roman" w:cs="Times New Roman" w:eastAsia="Times New Roman" w:hAnsi="Times New Roman"/>
                  <w:sz w:val="17"/>
                  <w:szCs w:val="17"/>
                  <w:color w:val="0000FF"/>
                  <w:w w:val="99"/>
                </w:rPr>
                <w:t>December 16, 2015, by and between the Registrant and Yahoo! Inc.</w:t>
              </w:r>
            </w:hyperlink>
          </w:p>
        </w:tc>
        <w:tc>
          <w:tcPr>
            <w:tcW w:w="40" w:type="dxa"/>
            <w:vAlign w:val="bottom"/>
            <w:gridSpan w:val="2"/>
          </w:tcPr>
          <w:p>
            <w:pPr>
              <w:spacing w:after="0"/>
              <w:rPr>
                <w:sz w:val="15"/>
                <w:szCs w:val="15"/>
                <w:color w:val="auto"/>
              </w:rPr>
            </w:pPr>
          </w:p>
        </w:tc>
      </w:tr>
      <w:tr>
        <w:trPr>
          <w:trHeight w:val="29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10.28†</w:t>
            </w:r>
          </w:p>
        </w:tc>
        <w:tc>
          <w:tcPr>
            <w:tcW w:w="20" w:type="dxa"/>
            <w:vAlign w:val="bottom"/>
          </w:tcPr>
          <w:p>
            <w:pPr>
              <w:spacing w:after="0"/>
              <w:rPr>
                <w:sz w:val="24"/>
                <w:szCs w:val="24"/>
                <w:color w:val="auto"/>
              </w:rPr>
            </w:pPr>
          </w:p>
        </w:tc>
        <w:tc>
          <w:tcPr>
            <w:tcW w:w="4680" w:type="dxa"/>
            <w:vAlign w:val="bottom"/>
            <w:gridSpan w:val="33"/>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Sublease Agreement, dated as of October 20, 2021, by and between</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top w:val="single" w:sz="8" w:color="0000FF"/>
            </w:tcBorders>
            <w:gridSpan w:val="30"/>
          </w:tcPr>
          <w:p>
            <w:pPr>
              <w:spacing w:after="0" w:line="18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PubMatic, Inc. and Chan Zuckerberg Initiative, LLC.</w:t>
              </w:r>
            </w:hyperlink>
          </w:p>
        </w:tc>
        <w:tc>
          <w:tcPr>
            <w:tcW w:w="60" w:type="dxa"/>
            <w:vAlign w:val="bottom"/>
            <w:gridSpan w:val="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33"/>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First Amendment to Sublease Agreement, dated as of November 8,</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16"/>
          </w:tcPr>
          <w:p>
            <w:pPr>
              <w:spacing w:after="0" w:line="18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2021, by and between PubMatic, Inc. and Chan Zuckerberg</w:t>
              </w:r>
            </w:hyperlink>
          </w:p>
        </w:tc>
        <w:tc>
          <w:tcPr>
            <w:tcW w:w="500" w:type="dxa"/>
            <w:vAlign w:val="bottom"/>
            <w:tcBorders>
              <w:top w:val="single" w:sz="8" w:color="0000FF"/>
            </w:tcBorders>
            <w:gridSpan w:val="1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Initiative, LLC.</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w w:val="99"/>
              </w:rPr>
            </w:pPr>
            <w:hyperlink r:id="rId148">
              <w:r>
                <w:rPr>
                  <w:rFonts w:ascii="Times New Roman" w:cs="Times New Roman" w:eastAsia="Times New Roman" w:hAnsi="Times New Roman"/>
                  <w:sz w:val="17"/>
                  <w:szCs w:val="17"/>
                  <w:color w:val="0000FF"/>
                  <w:w w:val="99"/>
                </w:rPr>
                <w:t>Form of Tier 1 Retention Agreement.</w:t>
              </w:r>
            </w:hyperlink>
          </w:p>
        </w:tc>
        <w:tc>
          <w:tcPr>
            <w:tcW w:w="2120" w:type="dxa"/>
            <w:vAlign w:val="bottom"/>
            <w:gridSpan w:val="27"/>
          </w:tcPr>
          <w:p>
            <w:pPr>
              <w:spacing w:after="0"/>
              <w:rPr>
                <w:sz w:val="24"/>
                <w:szCs w:val="24"/>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w w:val="99"/>
              </w:rPr>
            </w:pPr>
            <w:hyperlink r:id="rId149">
              <w:r>
                <w:rPr>
                  <w:rFonts w:ascii="Times New Roman" w:cs="Times New Roman" w:eastAsia="Times New Roman" w:hAnsi="Times New Roman"/>
                  <w:sz w:val="17"/>
                  <w:szCs w:val="17"/>
                  <w:color w:val="0000FF"/>
                  <w:w w:val="99"/>
                </w:rPr>
                <w:t>Form of Tier 2 Retention Agreement.</w:t>
              </w:r>
            </w:hyperlink>
          </w:p>
        </w:tc>
        <w:tc>
          <w:tcPr>
            <w:tcW w:w="2120" w:type="dxa"/>
            <w:vAlign w:val="bottom"/>
            <w:gridSpan w:val="27"/>
          </w:tcPr>
          <w:p>
            <w:pPr>
              <w:spacing w:after="0"/>
              <w:rPr>
                <w:sz w:val="24"/>
                <w:szCs w:val="24"/>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29"/>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Credit Agreement, dated as of October 17, 2022, by and among the</w:t>
              </w:r>
            </w:hyperlink>
          </w:p>
        </w:tc>
        <w:tc>
          <w:tcPr>
            <w:tcW w:w="80" w:type="dxa"/>
            <w:vAlign w:val="bottom"/>
            <w:gridSpan w:val="4"/>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Registrant, the lenders party thereto, and Silicon Valley Bank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20" w:type="dxa"/>
            <w:vAlign w:val="bottom"/>
            <w:gridSpan w:val="14"/>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w w:val="99"/>
              </w:rPr>
            </w:pPr>
            <w:hyperlink r:id="rId151">
              <w:r>
                <w:rPr>
                  <w:rFonts w:ascii="Times New Roman" w:cs="Times New Roman" w:eastAsia="Times New Roman" w:hAnsi="Times New Roman"/>
                  <w:sz w:val="17"/>
                  <w:szCs w:val="17"/>
                  <w:color w:val="0000FF"/>
                  <w:w w:val="99"/>
                </w:rPr>
                <w:t>Advisor Agreement between Jeffrey Hirsch and PubMatic, Inc.</w:t>
              </w:r>
            </w:hyperlink>
          </w:p>
        </w:tc>
        <w:tc>
          <w:tcPr>
            <w:tcW w:w="360" w:type="dxa"/>
            <w:vAlign w:val="bottom"/>
            <w:gridSpan w:val="9"/>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Borders>
              <w:bottom w:val="single" w:sz="8" w:color="0000FF"/>
            </w:tcBorders>
            <w:gridSpan w:val="2"/>
          </w:tcPr>
          <w:p>
            <w:pPr>
              <w:spacing w:after="0" w:line="183" w:lineRule="exact"/>
              <w:rPr>
                <w:rFonts w:ascii="Times New Roman" w:cs="Times New Roman" w:eastAsia="Times New Roman" w:hAnsi="Times New Roman"/>
                <w:sz w:val="17"/>
                <w:szCs w:val="17"/>
                <w:color w:val="0000FF"/>
                <w:w w:val="99"/>
              </w:rPr>
            </w:pPr>
            <w:hyperlink r:id="rId151">
              <w:r>
                <w:rPr>
                  <w:rFonts w:ascii="Times New Roman" w:cs="Times New Roman" w:eastAsia="Times New Roman" w:hAnsi="Times New Roman"/>
                  <w:sz w:val="17"/>
                  <w:szCs w:val="17"/>
                  <w:color w:val="0000FF"/>
                  <w:w w:val="99"/>
                </w:rPr>
                <w:t>dated March 30, 2023</w:t>
              </w:r>
            </w:hyperlink>
          </w:p>
        </w:tc>
        <w:tc>
          <w:tcPr>
            <w:tcW w:w="3180" w:type="dxa"/>
            <w:vAlign w:val="bottom"/>
            <w:gridSpan w:val="31"/>
          </w:tcPr>
          <w:p>
            <w:pPr>
              <w:spacing w:after="0"/>
              <w:rPr>
                <w:sz w:val="15"/>
                <w:szCs w:val="15"/>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Subsidiaries of the Registrant.</w:t>
            </w:r>
          </w:p>
        </w:tc>
        <w:tc>
          <w:tcPr>
            <w:tcW w:w="2620" w:type="dxa"/>
            <w:vAlign w:val="bottom"/>
            <w:gridSpan w:val="29"/>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9"/>
                <w:szCs w:val="19"/>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10.18</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March 1,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10.13</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April 9,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June 8,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2"/>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10.20</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October 17,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May 9, 2023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bl>
    <w:p>
      <w:pPr>
        <w:sectPr>
          <w:pgSz w:w="11900" w:h="16838" w:orient="portrait"/>
          <w:cols w:equalWidth="0" w:num="2">
            <w:col w:w="5800" w:space="100"/>
            <w:col w:w="5340"/>
          </w:cols>
          <w:pgMar w:left="320" w:top="229"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58"/>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bottom w:val="single" w:sz="8" w:color="0000FF"/>
            </w:tcBorders>
            <w:gridSpan w:val="11"/>
          </w:tcPr>
          <w:p>
            <w:pPr>
              <w:spacing w:after="0" w:line="183" w:lineRule="exact"/>
              <w:rPr>
                <w:sz w:val="20"/>
                <w:szCs w:val="20"/>
                <w:color w:val="auto"/>
              </w:rPr>
            </w:pPr>
            <w:r>
              <w:rPr>
                <w:rFonts w:ascii="Times New Roman" w:cs="Times New Roman" w:eastAsia="Times New Roman" w:hAnsi="Times New Roman"/>
                <w:sz w:val="17"/>
                <w:szCs w:val="17"/>
                <w:color w:val="0000FF"/>
                <w:w w:val="99"/>
              </w:rPr>
              <w:t>Consent of Deloitte &amp; Touche LLP, independent registered public</w:t>
            </w:r>
          </w:p>
        </w:tc>
        <w:tc>
          <w:tcPr>
            <w:tcW w:w="280" w:type="dxa"/>
            <w:vAlign w:val="bottom"/>
            <w:gridSpan w:val="5"/>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accounting firm.</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Power of Attorney (included in the signature page hereto)</w:t>
            </w:r>
            <w:r>
              <w:rPr>
                <w:rFonts w:ascii="Times New Roman" w:cs="Times New Roman" w:eastAsia="Times New Roman" w:hAnsi="Times New Roman"/>
                <w:sz w:val="17"/>
                <w:szCs w:val="17"/>
                <w:color w:val="000000"/>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Rules 13a-</w:t>
            </w:r>
          </w:p>
        </w:tc>
        <w:tc>
          <w:tcPr>
            <w:tcW w:w="46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FF"/>
            </w:tcBorders>
            <w:gridSpan w:val="13"/>
          </w:tcPr>
          <w:p>
            <w:pPr>
              <w:spacing w:after="0" w:line="183"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w:t>
            </w:r>
          </w:p>
        </w:tc>
        <w:tc>
          <w:tcPr>
            <w:tcW w:w="22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3"/>
              </w:rPr>
              <w:t>2002.</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Rules 13a-14(a)</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top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7"/>
                <w:szCs w:val="17"/>
                <w:color w:val="0000FF"/>
              </w:rPr>
              <w:t>and 15d-14(a) under the Securities Exchange Act of 1934, as</w:t>
            </w:r>
          </w:p>
        </w:tc>
        <w:tc>
          <w:tcPr>
            <w:tcW w:w="16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16"/>
          </w:tcPr>
          <w:p>
            <w:pPr>
              <w:spacing w:after="0" w:line="169"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w:t>
            </w:r>
          </w:p>
        </w:tc>
        <w:tc>
          <w:tcPr>
            <w:tcW w:w="52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Oxley Act of 2002.</w:t>
            </w:r>
          </w:p>
        </w:tc>
        <w:tc>
          <w:tcPr>
            <w:tcW w:w="3180" w:type="dxa"/>
            <w:vAlign w:val="bottom"/>
            <w:tcBorders>
              <w:top w:val="single" w:sz="8" w:color="0000FF"/>
            </w:tcBorders>
            <w:gridSpan w:val="7"/>
          </w:tcPr>
          <w:p>
            <w:pPr>
              <w:spacing w:after="0"/>
              <w:rPr>
                <w:sz w:val="15"/>
                <w:szCs w:val="15"/>
                <w:color w:val="auto"/>
              </w:rPr>
            </w:pPr>
          </w:p>
        </w:tc>
        <w:tc>
          <w:tcPr>
            <w:tcW w:w="26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w w:val="99"/>
              </w:rPr>
              <w:t>Oxley Act of 2002.</w:t>
            </w:r>
          </w:p>
        </w:tc>
        <w:tc>
          <w:tcPr>
            <w:tcW w:w="3200" w:type="dxa"/>
            <w:vAlign w:val="bottom"/>
            <w:tcBorders>
              <w:top w:val="single" w:sz="8" w:color="0000FF"/>
            </w:tcBorders>
            <w:gridSpan w:val="8"/>
          </w:tcPr>
          <w:p>
            <w:pPr>
              <w:spacing w:after="0"/>
              <w:rPr>
                <w:sz w:val="15"/>
                <w:szCs w:val="15"/>
                <w:color w:val="auto"/>
              </w:rPr>
            </w:pPr>
          </w:p>
        </w:tc>
        <w:tc>
          <w:tcPr>
            <w:tcW w:w="26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Clawback Policy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62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not appear in the Interactive Data File because its XBRL tags are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101.SCH</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91"/>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1"/>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91"/>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2"/>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contained in Exhibit 101)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50"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Indicates a management contract, compensatory plan or arrangement.</w:t>
      </w:r>
    </w:p>
    <w:p>
      <w:pPr>
        <w:spacing w:after="0" w:line="5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Registrant has omitted portions of the exhibit as permitted under Item 601(b)(10) of Regulation S-K.</w:t>
      </w:r>
    </w:p>
    <w:p>
      <w:pPr>
        <w:spacing w:after="0" w:line="46" w:lineRule="exact"/>
        <w:rPr>
          <w:sz w:val="20"/>
          <w:szCs w:val="20"/>
          <w:color w:val="auto"/>
        </w:rPr>
      </w:pPr>
    </w:p>
    <w:p>
      <w:pPr>
        <w:ind w:left="340" w:hanging="332"/>
        <w:spacing w:after="0" w:line="263" w:lineRule="auto"/>
        <w:tabs>
          <w:tab w:leader="none" w:pos="27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February 28, 2024</w:t>
      </w:r>
    </w:p>
    <w:p>
      <w:pPr>
        <w:spacing w:after="0" w:line="2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PUBMATIC, INC.</w:t>
      </w:r>
    </w:p>
    <w:p>
      <w:pPr>
        <w:spacing w:after="0" w:line="337" w:lineRule="exact"/>
        <w:rPr>
          <w:sz w:val="20"/>
          <w:szCs w:val="20"/>
          <w:color w:val="auto"/>
        </w:rPr>
      </w:pPr>
    </w:p>
    <w:p>
      <w:pPr>
        <w:ind w:left="566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Rajeev K. Goel</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Rajeev K. Goel and Steven Pantelick, and each of them, as his or her true and lawful attorneys-in-fact and agents, each with full power of substitution, for him or her and in his or her name,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their or his substitute or substitutes, may lawfully do or cause to be done by virtue hereof.</w:t>
      </w:r>
    </w:p>
    <w:p>
      <w:pPr>
        <w:spacing w:after="0" w:line="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dates indicated.</w:t>
      </w:r>
    </w:p>
    <w:p>
      <w:pPr>
        <w:spacing w:after="0" w:line="47" w:lineRule="exact"/>
        <w:rPr>
          <w:sz w:val="20"/>
          <w:szCs w:val="20"/>
          <w:color w:val="auto"/>
        </w:rPr>
      </w:pPr>
    </w:p>
    <w:p>
      <w:pPr>
        <w:ind w:left="2040"/>
        <w:spacing w:after="0"/>
        <w:tabs>
          <w:tab w:leader="none" w:pos="688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1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Rajeev K. Goel</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Lisa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Lisa Gimbel</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Susan Daimler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Susan Daimler</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Shelagh Glaser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Shelagh Glaser</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Amar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Amar K. Goel</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 Anton Hanebrink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948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Anton Hanebrink</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Ramon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Ramon Jones</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Nick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Nick Mehta</w:t>
      </w:r>
    </w:p>
    <w:p>
      <w:pPr>
        <w:spacing w:after="0" w:line="1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 Jacob Shulman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489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Jacob Shulman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3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ectPr>
          <w:pgSz w:w="11900" w:h="16838" w:orient="portrait"/>
          <w:cols w:equalWidth="0" w:num="3">
            <w:col w:w="5000" w:space="720"/>
            <w:col w:w="3240" w:space="720"/>
            <w:col w:w="1560"/>
          </w:cols>
          <w:pgMar w:left="320" w:top="229" w:right="33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1545590</wp:posOffset>
            </wp:positionV>
            <wp:extent cx="1903095"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19030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0"/>
        <w:spacing w:after="0"/>
        <w:rPr>
          <w:sz w:val="20"/>
          <w:szCs w:val="20"/>
          <w:color w:val="auto"/>
        </w:rPr>
      </w:pPr>
      <w:r>
        <w:rPr>
          <w:rFonts w:ascii="Calibri" w:cs="Calibri" w:eastAsia="Calibri" w:hAnsi="Calibri"/>
          <w:sz w:val="43"/>
          <w:szCs w:val="43"/>
          <w:b w:val="1"/>
          <w:bCs w:val="1"/>
          <w:color w:val="auto"/>
        </w:rPr>
        <w:t>2024 Executve Bonus Plan</w:t>
      </w:r>
    </w:p>
    <w:p>
      <w:pPr>
        <w:sectPr>
          <w:pgSz w:w="11900" w:h="16838" w:orient="portrait"/>
          <w:cols w:equalWidth="0" w:num="1">
            <w:col w:w="10120"/>
          </w:cols>
          <w:pgMar w:left="1440" w:top="1400" w:right="339" w:bottom="1440" w:gutter="0" w:footer="0" w:header="0"/>
        </w:sectPr>
      </w:pPr>
    </w:p>
    <w:bookmarkStart w:id="100" w:name="page101"/>
    <w:bookmarkEnd w:id="100"/>
    <w:p>
      <w:pPr>
        <w:spacing w:after="0" w:line="18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Overview</w:t>
      </w:r>
    </w:p>
    <w:p>
      <w:pPr>
        <w:spacing w:after="0" w:line="193" w:lineRule="auto"/>
        <w:rPr>
          <w:sz w:val="20"/>
          <w:szCs w:val="20"/>
          <w:color w:val="auto"/>
        </w:rPr>
      </w:pPr>
      <w:r>
        <w:rPr>
          <w:rFonts w:ascii="Calibri" w:cs="Calibri" w:eastAsia="Calibri" w:hAnsi="Calibri"/>
          <w:sz w:val="22"/>
          <w:szCs w:val="22"/>
          <w:color w:val="auto"/>
        </w:rPr>
        <w:t>This 2024 Executve Bonus Plan (“Plan”) specifes the terms and conditons under which eligible executve employees of PubMatc, Inc. and/or its subsidiaries (“Company” or “PubMatc”) may receive bonuses from the Company and how the Plan will be administered. This Plan states how bonuses are calculated, but it does not change your target bonus. Please read this entre document carefully, as important aspects of the Plan and your potental bonus are detailed in this document.</w:t>
      </w:r>
    </w:p>
    <w:p>
      <w:pPr>
        <w:spacing w:after="0" w:line="201" w:lineRule="exact"/>
        <w:rPr>
          <w:sz w:val="20"/>
          <w:szCs w:val="20"/>
          <w:color w:val="auto"/>
        </w:rPr>
      </w:pPr>
    </w:p>
    <w:p>
      <w:pPr>
        <w:spacing w:after="0" w:line="211" w:lineRule="auto"/>
        <w:rPr>
          <w:sz w:val="20"/>
          <w:szCs w:val="20"/>
          <w:color w:val="auto"/>
        </w:rPr>
      </w:pPr>
      <w:r>
        <w:rPr>
          <w:rFonts w:ascii="Calibri" w:cs="Calibri" w:eastAsia="Calibri" w:hAnsi="Calibri"/>
          <w:sz w:val="22"/>
          <w:szCs w:val="22"/>
          <w:color w:val="auto"/>
        </w:rPr>
        <w:t>This Plan is for the plan year January 1, 2024 through December 31, 2024 (the “Plan Period”). The Company reserves the right to modify, extend, withdraw or terminate this Plan, prospectvely, at any tme.</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Purpose of Plan</w:t>
      </w:r>
    </w:p>
    <w:p>
      <w:pPr>
        <w:ind w:right="460"/>
        <w:spacing w:after="0" w:line="193" w:lineRule="auto"/>
        <w:rPr>
          <w:sz w:val="20"/>
          <w:szCs w:val="20"/>
          <w:color w:val="auto"/>
        </w:rPr>
      </w:pPr>
      <w:r>
        <w:rPr>
          <w:rFonts w:ascii="Calibri" w:cs="Calibri" w:eastAsia="Calibri" w:hAnsi="Calibri"/>
          <w:sz w:val="22"/>
          <w:szCs w:val="22"/>
          <w:color w:val="auto"/>
        </w:rPr>
        <w:t>The purpose of the Plan is to reward executve employees for achieving defned objectves and fnancial targets, to help the Company achieve its overall goals, and to retain high-performing employees.</w:t>
      </w:r>
    </w:p>
    <w:p>
      <w:pPr>
        <w:spacing w:after="0" w:line="1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Plan Objectves</w:t>
      </w:r>
    </w:p>
    <w:p>
      <w:pPr>
        <w:spacing w:after="0" w:line="193" w:lineRule="auto"/>
        <w:rPr>
          <w:sz w:val="20"/>
          <w:szCs w:val="20"/>
          <w:color w:val="auto"/>
        </w:rPr>
      </w:pPr>
      <w:r>
        <w:rPr>
          <w:rFonts w:ascii="Calibri" w:cs="Calibri" w:eastAsia="Calibri" w:hAnsi="Calibri"/>
          <w:sz w:val="22"/>
          <w:szCs w:val="22"/>
          <w:color w:val="auto"/>
        </w:rPr>
        <w:t>The primary objectve of the Plan is to promote business success by:</w:t>
      </w:r>
    </w:p>
    <w:p>
      <w:pPr>
        <w:spacing w:after="0" w:line="20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Creatng a uniform plan for executves that is consistent with the market.</w:t>
      </w:r>
    </w:p>
    <w:p>
      <w:pPr>
        <w:spacing w:after="0" w:line="11" w:lineRule="exact"/>
        <w:rPr>
          <w:rFonts w:ascii="Times New Roman" w:cs="Times New Roman" w:eastAsia="Times New Roman" w:hAnsi="Times New Roman"/>
          <w:sz w:val="22"/>
          <w:szCs w:val="22"/>
          <w:color w:val="auto"/>
        </w:rPr>
      </w:pPr>
    </w:p>
    <w:p>
      <w:pPr>
        <w:ind w:left="660" w:hanging="328"/>
        <w:spacing w:after="0" w:line="194" w:lineRule="auto"/>
        <w:tabs>
          <w:tab w:leader="none" w:pos="660" w:val="left"/>
        </w:tabs>
        <w:numPr>
          <w:ilvl w:val="0"/>
          <w:numId w:val="31"/>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Incentng executves to focus on Company targets and Individual Acton Plans.</w:t>
      </w:r>
    </w:p>
    <w:p>
      <w:pPr>
        <w:spacing w:after="0" w:line="12" w:lineRule="exact"/>
        <w:rPr>
          <w:rFonts w:ascii="Times New Roman" w:cs="Times New Roman" w:eastAsia="Times New Roman" w:hAnsi="Times New Roman"/>
          <w:sz w:val="22"/>
          <w:szCs w:val="22"/>
          <w:color w:val="auto"/>
        </w:rPr>
      </w:pPr>
    </w:p>
    <w:p>
      <w:pPr>
        <w:ind w:left="660" w:right="360" w:hanging="328"/>
        <w:spacing w:after="0" w:line="193" w:lineRule="auto"/>
        <w:tabs>
          <w:tab w:leader="none" w:pos="655" w:val="left"/>
        </w:tabs>
        <w:numPr>
          <w:ilvl w:val="0"/>
          <w:numId w:val="31"/>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Providing an opportunity to receive a bonus beyond current bonus targets, should the Company exceed performance targets.</w:t>
      </w:r>
    </w:p>
    <w:p>
      <w:pPr>
        <w:spacing w:after="0" w:line="16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Partcipants and Eligibility</w:t>
      </w:r>
    </w:p>
    <w:p>
      <w:pPr>
        <w:spacing w:after="0" w:line="191" w:lineRule="auto"/>
        <w:rPr>
          <w:sz w:val="20"/>
          <w:szCs w:val="20"/>
          <w:color w:val="auto"/>
        </w:rPr>
      </w:pPr>
      <w:r>
        <w:rPr>
          <w:rFonts w:ascii="Calibri" w:cs="Calibri" w:eastAsia="Calibri" w:hAnsi="Calibri"/>
          <w:sz w:val="22"/>
          <w:szCs w:val="22"/>
          <w:color w:val="auto"/>
        </w:rPr>
        <w:t>An executve employee of the Company is eligible to partcipate in the Plan if the following eligibility criteria are met:</w:t>
      </w:r>
    </w:p>
    <w:p>
      <w:pPr>
        <w:spacing w:after="0" w:line="217" w:lineRule="exact"/>
        <w:rPr>
          <w:sz w:val="20"/>
          <w:szCs w:val="20"/>
          <w:color w:val="auto"/>
        </w:rPr>
      </w:pPr>
    </w:p>
    <w:p>
      <w:pPr>
        <w:ind w:left="660" w:right="80" w:hanging="328"/>
        <w:spacing w:after="0" w:line="201" w:lineRule="auto"/>
        <w:tabs>
          <w:tab w:leader="none" w:pos="655" w:val="left"/>
        </w:tabs>
        <w:numPr>
          <w:ilvl w:val="0"/>
          <w:numId w:val="32"/>
        </w:numPr>
        <w:rPr>
          <w:rFonts w:ascii="Times New Roman" w:cs="Times New Roman" w:eastAsia="Times New Roman" w:hAnsi="Times New Roman"/>
          <w:sz w:val="22"/>
          <w:szCs w:val="22"/>
          <w:color w:val="auto"/>
        </w:rPr>
      </w:pPr>
      <w:r>
        <w:rPr>
          <w:rFonts w:ascii="Calibri" w:cs="Calibri" w:eastAsia="Calibri" w:hAnsi="Calibri"/>
          <w:sz w:val="22"/>
          <w:szCs w:val="22"/>
          <w:color w:val="auto"/>
        </w:rPr>
        <w:t>You are one of the following executves of the Company: Chief Executve Ofcer; Chief Innovaton Ofcer; Chief Financial Ofcer; President, Engineering; Chief Technology Ofcer; Chief Marketng Ofcer; General Counsel; SVP, Product Management; SVP, Human Resources; CRO, Americas; or any other positon as determined by the Board of Directors of the Company or a designated commitee thereto (the “Board”).</w:t>
      </w:r>
    </w:p>
    <w:p>
      <w:pPr>
        <w:spacing w:after="0" w:line="4" w:lineRule="exact"/>
        <w:rPr>
          <w:rFonts w:ascii="Times New Roman" w:cs="Times New Roman" w:eastAsia="Times New Roman" w:hAnsi="Times New Roman"/>
          <w:sz w:val="22"/>
          <w:szCs w:val="22"/>
          <w:color w:val="auto"/>
        </w:rPr>
      </w:pPr>
    </w:p>
    <w:p>
      <w:pPr>
        <w:ind w:left="660" w:right="380" w:hanging="328"/>
        <w:spacing w:after="0" w:line="199" w:lineRule="auto"/>
        <w:tabs>
          <w:tab w:leader="none" w:pos="655" w:val="left"/>
        </w:tabs>
        <w:numPr>
          <w:ilvl w:val="0"/>
          <w:numId w:val="32"/>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executve employee is not an eligible partcipant under any other bonus plan generally available to employees of PubMatc for the Plan Period; and</w:t>
      </w:r>
    </w:p>
    <w:p>
      <w:pPr>
        <w:spacing w:after="0" w:line="2" w:lineRule="exact"/>
        <w:rPr>
          <w:rFonts w:ascii="Times New Roman" w:cs="Times New Roman" w:eastAsia="Times New Roman" w:hAnsi="Times New Roman"/>
          <w:sz w:val="22"/>
          <w:szCs w:val="22"/>
          <w:color w:val="auto"/>
        </w:rPr>
      </w:pPr>
    </w:p>
    <w:p>
      <w:pPr>
        <w:ind w:left="660" w:right="420" w:hanging="328"/>
        <w:spacing w:after="0" w:line="199" w:lineRule="auto"/>
        <w:tabs>
          <w:tab w:leader="none" w:pos="655" w:val="left"/>
        </w:tabs>
        <w:numPr>
          <w:ilvl w:val="0"/>
          <w:numId w:val="32"/>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employee is employed in Good Standing by PubMatc in a regular, full-tme positon through the Bonus Payment Date, subject to applicable law.</w:t>
      </w:r>
    </w:p>
    <w:p>
      <w:pPr>
        <w:spacing w:after="0" w:line="201" w:lineRule="exact"/>
        <w:rPr>
          <w:sz w:val="20"/>
          <w:szCs w:val="20"/>
          <w:color w:val="auto"/>
        </w:rPr>
      </w:pPr>
    </w:p>
    <w:p>
      <w:pPr>
        <w:jc w:val="both"/>
        <w:ind w:right="260"/>
        <w:spacing w:after="0" w:line="205" w:lineRule="auto"/>
        <w:rPr>
          <w:sz w:val="20"/>
          <w:szCs w:val="20"/>
          <w:color w:val="auto"/>
        </w:rPr>
      </w:pPr>
      <w:r>
        <w:rPr>
          <w:rFonts w:ascii="Calibri" w:cs="Calibri" w:eastAsia="Calibri" w:hAnsi="Calibri"/>
          <w:sz w:val="22"/>
          <w:szCs w:val="22"/>
          <w:color w:val="auto"/>
        </w:rPr>
        <w:t>Executve employees who are eligible to partcipate in the Plan are referred to herein as “Partcipants.” Each Partcipant must sign, date, and return a copy of this Plan to the Company before the Partcipant is eligible to receive any payments or benefts under the Plan, subject to applicable law.</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Defnitons</w:t>
      </w:r>
    </w:p>
    <w:p>
      <w:pPr>
        <w:ind w:left="340"/>
        <w:spacing w:after="0" w:line="194" w:lineRule="auto"/>
        <w:rPr>
          <w:sz w:val="20"/>
          <w:szCs w:val="20"/>
          <w:color w:val="auto"/>
        </w:rPr>
      </w:pPr>
      <w:r>
        <w:rPr>
          <w:rFonts w:ascii="Calibri" w:cs="Calibri" w:eastAsia="Calibri" w:hAnsi="Calibri"/>
          <w:sz w:val="22"/>
          <w:szCs w:val="22"/>
          <w:u w:val="single" w:color="auto"/>
          <w:color w:val="auto"/>
        </w:rPr>
        <w:t>1H</w:t>
      </w:r>
      <w:r>
        <w:rPr>
          <w:rFonts w:ascii="Calibri" w:cs="Calibri" w:eastAsia="Calibri" w:hAnsi="Calibri"/>
          <w:sz w:val="22"/>
          <w:szCs w:val="22"/>
          <w:color w:val="auto"/>
        </w:rPr>
        <w:t>: The frst half of a calendar year, meaning January 1 through June 30.</w:t>
      </w:r>
    </w:p>
    <w:p>
      <w:pPr>
        <w:spacing w:after="0" w:line="189" w:lineRule="exact"/>
        <w:rPr>
          <w:sz w:val="20"/>
          <w:szCs w:val="20"/>
          <w:color w:val="auto"/>
        </w:rPr>
      </w:pPr>
    </w:p>
    <w:p>
      <w:pPr>
        <w:ind w:left="340"/>
        <w:spacing w:after="0"/>
        <w:rPr>
          <w:sz w:val="20"/>
          <w:szCs w:val="20"/>
          <w:color w:val="auto"/>
        </w:rPr>
      </w:pPr>
      <w:r>
        <w:rPr>
          <w:rFonts w:ascii="Calibri" w:cs="Calibri" w:eastAsia="Calibri" w:hAnsi="Calibri"/>
          <w:sz w:val="22"/>
          <w:szCs w:val="22"/>
          <w:u w:val="single" w:color="auto"/>
          <w:color w:val="auto"/>
        </w:rPr>
        <w:t>2H:</w:t>
      </w:r>
      <w:r>
        <w:rPr>
          <w:rFonts w:ascii="Calibri" w:cs="Calibri" w:eastAsia="Calibri" w:hAnsi="Calibri"/>
          <w:sz w:val="22"/>
          <w:szCs w:val="22"/>
          <w:color w:val="auto"/>
        </w:rPr>
        <w:t xml:space="preserve"> The second half of a calendar year, meaning July 1 through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240"/>
          </w:cols>
          <w:pgMar w:left="320" w:top="1440" w:right="339" w:bottom="1440" w:gutter="0" w:footer="0" w:header="0"/>
        </w:sectPr>
      </w:pPr>
    </w:p>
    <w:bookmarkStart w:id="101" w:name="page102"/>
    <w:bookmarkEnd w:id="101"/>
    <w:p>
      <w:pPr>
        <w:ind w:left="340" w:right="540"/>
        <w:spacing w:after="0" w:line="221" w:lineRule="auto"/>
        <w:rPr>
          <w:sz w:val="20"/>
          <w:szCs w:val="20"/>
          <w:color w:val="auto"/>
        </w:rPr>
      </w:pPr>
      <w:r>
        <w:rPr>
          <w:rFonts w:ascii="Calibri" w:cs="Calibri" w:eastAsia="Calibri" w:hAnsi="Calibri"/>
          <w:sz w:val="21"/>
          <w:szCs w:val="21"/>
          <w:u w:val="single" w:color="auto"/>
          <w:color w:val="auto"/>
        </w:rPr>
        <w:t>Adjusted Pre-Tax Net Income</w:t>
      </w:r>
      <w:r>
        <w:rPr>
          <w:rFonts w:ascii="Calibri" w:cs="Calibri" w:eastAsia="Calibri" w:hAnsi="Calibri"/>
          <w:sz w:val="21"/>
          <w:szCs w:val="21"/>
          <w:color w:val="auto"/>
        </w:rPr>
        <w:t>: Company's earnings before income taxes, excluding stock-based compensaton expense, unrealized gains/losses on equity investments and expenses relatng to unplanned merger and acquisiton actvity.</w:t>
      </w:r>
    </w:p>
    <w:p>
      <w:pPr>
        <w:spacing w:after="0" w:line="203" w:lineRule="exact"/>
        <w:rPr>
          <w:sz w:val="20"/>
          <w:szCs w:val="20"/>
          <w:color w:val="auto"/>
        </w:rPr>
      </w:pPr>
    </w:p>
    <w:p>
      <w:pPr>
        <w:ind w:left="340" w:right="100"/>
        <w:spacing w:after="0" w:line="211" w:lineRule="auto"/>
        <w:rPr>
          <w:sz w:val="20"/>
          <w:szCs w:val="20"/>
          <w:color w:val="auto"/>
        </w:rPr>
      </w:pPr>
      <w:r>
        <w:rPr>
          <w:rFonts w:ascii="Calibri" w:cs="Calibri" w:eastAsia="Calibri" w:hAnsi="Calibri"/>
          <w:sz w:val="22"/>
          <w:szCs w:val="22"/>
          <w:u w:val="single" w:color="auto"/>
          <w:color w:val="auto"/>
        </w:rPr>
        <w:t>Bonus Payment Date</w:t>
      </w:r>
      <w:r>
        <w:rPr>
          <w:rFonts w:ascii="Calibri" w:cs="Calibri" w:eastAsia="Calibri" w:hAnsi="Calibri"/>
          <w:sz w:val="22"/>
          <w:szCs w:val="22"/>
          <w:color w:val="auto"/>
        </w:rPr>
        <w:t>: The date occurring afer the close of the annual review process as approved by the Board, which date shall be the next scheduled payroll on or afer March 15, 2025.</w:t>
      </w:r>
    </w:p>
    <w:p>
      <w:pPr>
        <w:spacing w:after="0" w:line="203" w:lineRule="exact"/>
        <w:rPr>
          <w:sz w:val="20"/>
          <w:szCs w:val="20"/>
          <w:color w:val="auto"/>
        </w:rPr>
      </w:pPr>
    </w:p>
    <w:p>
      <w:pPr>
        <w:ind w:left="340" w:right="340"/>
        <w:spacing w:after="0" w:line="215" w:lineRule="auto"/>
        <w:rPr>
          <w:sz w:val="20"/>
          <w:szCs w:val="20"/>
          <w:color w:val="auto"/>
        </w:rPr>
      </w:pPr>
      <w:r>
        <w:rPr>
          <w:rFonts w:ascii="Calibri" w:cs="Calibri" w:eastAsia="Calibri" w:hAnsi="Calibri"/>
          <w:sz w:val="21"/>
          <w:szCs w:val="21"/>
          <w:u w:val="single" w:color="auto"/>
          <w:color w:val="auto"/>
        </w:rPr>
        <w:t>Bonus Pool</w:t>
      </w:r>
      <w:r>
        <w:rPr>
          <w:rFonts w:ascii="Calibri" w:cs="Calibri" w:eastAsia="Calibri" w:hAnsi="Calibri"/>
          <w:sz w:val="21"/>
          <w:szCs w:val="21"/>
          <w:color w:val="auto"/>
        </w:rPr>
        <w:t>: The total aggregate target bonus amount of all eligible Partcipants under this Plan as of the end of each half year. For an eligible Partcipant who works for less than entre half year, such Partcipant’s target bonus amount will be prorated based on the number of days worked during the Plan Period divided by the number of days in the half year.</w:t>
      </w:r>
    </w:p>
    <w:p>
      <w:pPr>
        <w:spacing w:after="0" w:line="202" w:lineRule="exact"/>
        <w:rPr>
          <w:sz w:val="20"/>
          <w:szCs w:val="20"/>
          <w:color w:val="auto"/>
        </w:rPr>
      </w:pPr>
    </w:p>
    <w:p>
      <w:pPr>
        <w:ind w:left="340" w:right="580"/>
        <w:spacing w:after="0" w:line="211" w:lineRule="auto"/>
        <w:rPr>
          <w:sz w:val="20"/>
          <w:szCs w:val="20"/>
          <w:color w:val="auto"/>
        </w:rPr>
      </w:pPr>
      <w:r>
        <w:rPr>
          <w:rFonts w:ascii="Calibri" w:cs="Calibri" w:eastAsia="Calibri" w:hAnsi="Calibri"/>
          <w:sz w:val="22"/>
          <w:szCs w:val="22"/>
          <w:u w:val="single" w:color="auto"/>
          <w:color w:val="auto"/>
        </w:rPr>
        <w:t>Good Standing</w:t>
      </w:r>
      <w:r>
        <w:rPr>
          <w:rFonts w:ascii="Calibri" w:cs="Calibri" w:eastAsia="Calibri" w:hAnsi="Calibri"/>
          <w:sz w:val="22"/>
          <w:szCs w:val="22"/>
          <w:color w:val="auto"/>
        </w:rPr>
        <w:t>: This means that you have neither received any writen warnings for misconduct, nor been placed on a performance improvement plan during the Plan Period.</w:t>
      </w:r>
    </w:p>
    <w:p>
      <w:pPr>
        <w:spacing w:after="0" w:line="203" w:lineRule="exact"/>
        <w:rPr>
          <w:sz w:val="20"/>
          <w:szCs w:val="20"/>
          <w:color w:val="auto"/>
        </w:rPr>
      </w:pPr>
    </w:p>
    <w:p>
      <w:pPr>
        <w:ind w:left="340" w:right="340"/>
        <w:spacing w:after="0" w:line="211" w:lineRule="auto"/>
        <w:rPr>
          <w:sz w:val="20"/>
          <w:szCs w:val="20"/>
          <w:color w:val="auto"/>
        </w:rPr>
      </w:pPr>
      <w:r>
        <w:rPr>
          <w:rFonts w:ascii="Calibri" w:cs="Calibri" w:eastAsia="Calibri" w:hAnsi="Calibri"/>
          <w:sz w:val="22"/>
          <w:szCs w:val="22"/>
          <w:u w:val="single" w:color="auto"/>
          <w:color w:val="auto"/>
        </w:rPr>
        <w:t>Revenue (GAAP)</w:t>
      </w:r>
      <w:r>
        <w:rPr>
          <w:rFonts w:ascii="Calibri" w:cs="Calibri" w:eastAsia="Calibri" w:hAnsi="Calibri"/>
          <w:sz w:val="22"/>
          <w:szCs w:val="22"/>
          <w:color w:val="auto"/>
        </w:rPr>
        <w:t>: The actual revenue recognized by the Company, as defned by generally accepted accountng principles (GAAP).</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Bonus Target Amount</w:t>
      </w:r>
    </w:p>
    <w:p>
      <w:pPr>
        <w:ind w:right="160"/>
        <w:spacing w:after="0" w:line="193" w:lineRule="auto"/>
        <w:rPr>
          <w:sz w:val="20"/>
          <w:szCs w:val="20"/>
          <w:color w:val="auto"/>
        </w:rPr>
      </w:pPr>
      <w:r>
        <w:rPr>
          <w:rFonts w:ascii="Calibri" w:cs="Calibri" w:eastAsia="Calibri" w:hAnsi="Calibri"/>
          <w:sz w:val="22"/>
          <w:szCs w:val="22"/>
          <w:color w:val="auto"/>
        </w:rPr>
        <w:t>Please refer to your ofer leter, promoton leter, employment contract, or similar documentaton (“Employment Agreement”) for your bonus target, or contact Human Resources.</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Criteria</w:t>
      </w:r>
    </w:p>
    <w:p>
      <w:pPr>
        <w:ind w:right="500"/>
        <w:spacing w:after="0" w:line="193" w:lineRule="auto"/>
        <w:rPr>
          <w:sz w:val="20"/>
          <w:szCs w:val="20"/>
          <w:color w:val="auto"/>
        </w:rPr>
      </w:pPr>
      <w:r>
        <w:rPr>
          <w:rFonts w:ascii="Calibri" w:cs="Calibri" w:eastAsia="Calibri" w:hAnsi="Calibri"/>
          <w:sz w:val="22"/>
          <w:szCs w:val="22"/>
          <w:color w:val="auto"/>
        </w:rPr>
        <w:t>A bonus may be paid to a Partcipant based on factors such as Company performance and contnued employment with the Company in Good Standing through the Bonus Payment Date.</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Plan Components and Weightngs</w:t>
      </w:r>
    </w:p>
    <w:p>
      <w:pPr>
        <w:spacing w:after="0" w:line="194" w:lineRule="auto"/>
        <w:rPr>
          <w:sz w:val="20"/>
          <w:szCs w:val="20"/>
          <w:color w:val="auto"/>
        </w:rPr>
      </w:pPr>
      <w:r>
        <w:rPr>
          <w:rFonts w:ascii="Calibri" w:cs="Calibri" w:eastAsia="Calibri" w:hAnsi="Calibri"/>
          <w:sz w:val="22"/>
          <w:szCs w:val="22"/>
          <w:color w:val="auto"/>
        </w:rPr>
        <w:t>The Plan consists of:</w:t>
      </w:r>
    </w:p>
    <w:p>
      <w:pPr>
        <w:spacing w:after="0" w:line="202" w:lineRule="exact"/>
        <w:rPr>
          <w:sz w:val="20"/>
          <w:szCs w:val="20"/>
          <w:color w:val="auto"/>
        </w:rPr>
      </w:pPr>
    </w:p>
    <w:p>
      <w:pPr>
        <w:spacing w:after="0" w:line="205" w:lineRule="auto"/>
        <w:rPr>
          <w:sz w:val="20"/>
          <w:szCs w:val="20"/>
          <w:color w:val="auto"/>
        </w:rPr>
      </w:pPr>
      <w:r>
        <w:rPr>
          <w:rFonts w:ascii="Calibri" w:cs="Calibri" w:eastAsia="Calibri" w:hAnsi="Calibri"/>
          <w:sz w:val="22"/>
          <w:szCs w:val="22"/>
          <w:i w:val="1"/>
          <w:iCs w:val="1"/>
          <w:color w:val="auto"/>
        </w:rPr>
        <w:t>Financial Metric Component</w:t>
      </w:r>
      <w:r>
        <w:rPr>
          <w:rFonts w:ascii="Calibri" w:cs="Calibri" w:eastAsia="Calibri" w:hAnsi="Calibri"/>
          <w:sz w:val="22"/>
          <w:szCs w:val="22"/>
          <w:color w:val="auto"/>
        </w:rPr>
        <w:t>. The fnancial metric component of a Partcipant’s bonus will be weighted in the aggregate at 100%,</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and annual atainment will be measured based on the half-year Company performance targets and weightngs specifed in in Exhibit A.</w:t>
      </w:r>
    </w:p>
    <w:p>
      <w:pPr>
        <w:spacing w:after="0" w:line="203" w:lineRule="exact"/>
        <w:rPr>
          <w:sz w:val="20"/>
          <w:szCs w:val="20"/>
          <w:color w:val="auto"/>
        </w:rPr>
      </w:pPr>
    </w:p>
    <w:p>
      <w:pPr>
        <w:jc w:val="both"/>
        <w:ind w:right="160"/>
        <w:spacing w:after="0" w:line="211" w:lineRule="auto"/>
        <w:rPr>
          <w:sz w:val="20"/>
          <w:szCs w:val="20"/>
          <w:color w:val="auto"/>
        </w:rPr>
      </w:pPr>
      <w:r>
        <w:rPr>
          <w:rFonts w:ascii="Calibri" w:cs="Calibri" w:eastAsia="Calibri" w:hAnsi="Calibri"/>
          <w:sz w:val="21"/>
          <w:szCs w:val="21"/>
          <w:i w:val="1"/>
          <w:iCs w:val="1"/>
          <w:color w:val="auto"/>
        </w:rPr>
        <w:t xml:space="preserve">Performance Based Adjustments to the Bonus Pool. </w:t>
      </w:r>
      <w:r>
        <w:rPr>
          <w:rFonts w:ascii="Calibri" w:cs="Calibri" w:eastAsia="Calibri" w:hAnsi="Calibri"/>
          <w:sz w:val="21"/>
          <w:szCs w:val="21"/>
          <w:color w:val="auto"/>
        </w:rPr>
        <w:t>The Adjusted Pre-Tax Net Income metric will be used to determine the half</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year adjustment to the Bonus Pool based on the targets specifed in Exhibit B. Any adjustments to the Bonus Pool amount will be distributed on a prorated basis to all eligible Partcipants based on their respectve bonus target amounts. This adjustment will occur afer the calculaton of the preliminary bonus amount detailed in the “Bonus Calculaton” secton below.</w:t>
      </w:r>
    </w:p>
    <w:p>
      <w:pPr>
        <w:spacing w:after="0" w:line="205" w:lineRule="exact"/>
        <w:rPr>
          <w:sz w:val="20"/>
          <w:szCs w:val="20"/>
          <w:color w:val="auto"/>
        </w:rPr>
      </w:pPr>
    </w:p>
    <w:p>
      <w:pPr>
        <w:ind w:right="80"/>
        <w:spacing w:after="0" w:line="210" w:lineRule="auto"/>
        <w:rPr>
          <w:sz w:val="20"/>
          <w:szCs w:val="20"/>
          <w:color w:val="auto"/>
        </w:rPr>
      </w:pPr>
      <w:r>
        <w:rPr>
          <w:rFonts w:ascii="Calibri" w:cs="Calibri" w:eastAsia="Calibri" w:hAnsi="Calibri"/>
          <w:sz w:val="22"/>
          <w:szCs w:val="22"/>
          <w:color w:val="auto"/>
        </w:rPr>
        <w:t>For example, if the Bonus Pool is $600k for 1H and a Partcipant has a $60,000 target bonus, the Partcipant’s preliminary bonus amount will be subject to 10.0% of any adjustment, positve or negatve, to the Bonus Pool.</w:t>
      </w:r>
    </w:p>
    <w:p>
      <w:pPr>
        <w:spacing w:after="0" w:line="194" w:lineRule="exact"/>
        <w:rPr>
          <w:sz w:val="20"/>
          <w:szCs w:val="20"/>
          <w:color w:val="auto"/>
        </w:rPr>
      </w:pPr>
    </w:p>
    <w:p>
      <w:pPr>
        <w:spacing w:after="0"/>
        <w:rPr>
          <w:sz w:val="20"/>
          <w:szCs w:val="20"/>
          <w:color w:val="auto"/>
        </w:rPr>
      </w:pPr>
      <w:r>
        <w:rPr>
          <w:rFonts w:ascii="Calibri" w:cs="Calibri" w:eastAsia="Calibri" w:hAnsi="Calibri"/>
          <w:sz w:val="22"/>
          <w:szCs w:val="22"/>
          <w:color w:val="auto"/>
        </w:rPr>
        <w:t>For each component of the Plan, a 50% weightng will apply to 1H and a 50% weightng will apply to 2H.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220"/>
          </w:cols>
          <w:pgMar w:left="320" w:top="1393" w:right="359" w:bottom="1440" w:gutter="0" w:footer="0" w:header="0"/>
        </w:sectPr>
      </w:pPr>
    </w:p>
    <w:bookmarkStart w:id="102" w:name="page103"/>
    <w:bookmarkEnd w:id="102"/>
    <w:p>
      <w:pPr>
        <w:spacing w:after="0"/>
        <w:rPr>
          <w:sz w:val="20"/>
          <w:szCs w:val="20"/>
          <w:color w:val="auto"/>
        </w:rPr>
      </w:pPr>
      <w:r>
        <w:rPr>
          <w:rFonts w:ascii="Calibri" w:cs="Calibri" w:eastAsia="Calibri" w:hAnsi="Calibri"/>
          <w:sz w:val="22"/>
          <w:szCs w:val="22"/>
          <w:b w:val="1"/>
          <w:bCs w:val="1"/>
          <w:color w:val="auto"/>
        </w:rPr>
        <w:t>Minimum Achievement</w:t>
      </w:r>
    </w:p>
    <w:p>
      <w:pPr>
        <w:ind w:right="180"/>
        <w:spacing w:after="0" w:line="193" w:lineRule="auto"/>
        <w:rPr>
          <w:sz w:val="20"/>
          <w:szCs w:val="20"/>
          <w:color w:val="auto"/>
        </w:rPr>
      </w:pPr>
      <w:r>
        <w:rPr>
          <w:rFonts w:ascii="Calibri" w:cs="Calibri" w:eastAsia="Calibri" w:hAnsi="Calibri"/>
          <w:sz w:val="22"/>
          <w:szCs w:val="22"/>
          <w:color w:val="auto"/>
        </w:rPr>
        <w:t>In order for any bonus payout to be earned for the year, the Financial Metric Component in the aggregate for the year must equal or exceed 80% of the target specifed in Exhibit A hereto, prior to applying any multpliers.</w:t>
      </w:r>
    </w:p>
    <w:p>
      <w:pPr>
        <w:spacing w:after="0" w:line="16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Multpliers</w:t>
      </w:r>
    </w:p>
    <w:p>
      <w:pPr>
        <w:spacing w:after="0" w:line="55" w:lineRule="exact"/>
        <w:rPr>
          <w:sz w:val="20"/>
          <w:szCs w:val="20"/>
          <w:color w:val="auto"/>
        </w:rPr>
      </w:pPr>
    </w:p>
    <w:p>
      <w:pPr>
        <w:spacing w:after="0"/>
        <w:rPr>
          <w:sz w:val="20"/>
          <w:szCs w:val="20"/>
          <w:color w:val="auto"/>
        </w:rPr>
      </w:pPr>
      <w:r>
        <w:rPr>
          <w:rFonts w:ascii="Calibri" w:cs="Calibri" w:eastAsia="Calibri" w:hAnsi="Calibri"/>
          <w:sz w:val="22"/>
          <w:szCs w:val="22"/>
          <w:color w:val="auto"/>
        </w:rPr>
        <w:t>Multpliers will be applied to achievement on fnancial metrics based on Company performance for each half-year.</w:t>
      </w:r>
    </w:p>
    <w:p>
      <w:pPr>
        <w:spacing w:after="0" w:line="66" w:lineRule="exact"/>
        <w:rPr>
          <w:sz w:val="20"/>
          <w:szCs w:val="20"/>
          <w:color w:val="auto"/>
        </w:rPr>
      </w:pPr>
    </w:p>
    <w:p>
      <w:pPr>
        <w:ind w:right="140"/>
        <w:spacing w:after="0" w:line="211" w:lineRule="auto"/>
        <w:rPr>
          <w:sz w:val="20"/>
          <w:szCs w:val="20"/>
          <w:color w:val="auto"/>
        </w:rPr>
      </w:pPr>
      <w:r>
        <w:rPr>
          <w:rFonts w:ascii="Calibri" w:cs="Calibri" w:eastAsia="Calibri" w:hAnsi="Calibri"/>
          <w:sz w:val="22"/>
          <w:szCs w:val="22"/>
          <w:color w:val="auto"/>
        </w:rPr>
        <w:t xml:space="preserve">The resultng percentage achievement, as applicable, </w:t>
      </w:r>
      <w:r>
        <w:rPr>
          <w:rFonts w:ascii="Calibri" w:cs="Calibri" w:eastAsia="Calibri" w:hAnsi="Calibri"/>
          <w:sz w:val="17"/>
          <w:szCs w:val="17"/>
          <w:color w:val="auto"/>
        </w:rPr>
        <w:t>will</w:t>
      </w:r>
      <w:r>
        <w:rPr>
          <w:rFonts w:ascii="Calibri" w:cs="Calibri" w:eastAsia="Calibri" w:hAnsi="Calibri"/>
          <w:sz w:val="22"/>
          <w:szCs w:val="22"/>
          <w:color w:val="auto"/>
        </w:rPr>
        <w:t xml:space="preserve"> factor into the Partcipant’s bonus payout for the year per the table below.</w:t>
      </w:r>
    </w:p>
    <w:p>
      <w:pPr>
        <w:spacing w:after="0" w:line="68" w:lineRule="exact"/>
        <w:rPr>
          <w:sz w:val="20"/>
          <w:szCs w:val="20"/>
          <w:color w:val="auto"/>
        </w:rPr>
      </w:pPr>
    </w:p>
    <w:p>
      <w:pPr>
        <w:ind w:right="340"/>
        <w:spacing w:after="0" w:line="205" w:lineRule="auto"/>
        <w:rPr>
          <w:sz w:val="20"/>
          <w:szCs w:val="20"/>
          <w:color w:val="auto"/>
        </w:rPr>
      </w:pPr>
      <w:r>
        <w:rPr>
          <w:rFonts w:ascii="Calibri" w:cs="Calibri" w:eastAsia="Calibri" w:hAnsi="Calibri"/>
          <w:sz w:val="22"/>
          <w:szCs w:val="22"/>
          <w:color w:val="auto"/>
        </w:rPr>
        <w:t>Multpliers are calculated using the square method: multplying the achievement against itself to come up with the fnal achievement. For example, an achievement of 110% would yield an achievement used for end of year calculaton of 121% (110% x 110%= 121%).</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Multplier Table Example</w:t>
      </w:r>
    </w:p>
    <w:p>
      <w:pPr>
        <w:spacing w:after="0" w:line="200" w:lineRule="exact"/>
        <w:rPr>
          <w:sz w:val="20"/>
          <w:szCs w:val="20"/>
          <w:color w:val="auto"/>
        </w:rPr>
      </w:pPr>
    </w:p>
    <w:p>
      <w:pPr>
        <w:spacing w:after="0" w:line="266" w:lineRule="exact"/>
        <w:rPr>
          <w:sz w:val="20"/>
          <w:szCs w:val="20"/>
          <w:color w:val="auto"/>
        </w:rPr>
      </w:pPr>
    </w:p>
    <w:tbl>
      <w:tblPr>
        <w:tblLayout w:type="fixed"/>
        <w:tblInd w:w="270" w:type="dxa"/>
        <w:tblCellMar>
          <w:top w:w="0" w:type="dxa"/>
          <w:left w:w="0" w:type="dxa"/>
          <w:bottom w:w="0" w:type="dxa"/>
          <w:right w:w="0" w:type="dxa"/>
        </w:tblCellMar>
      </w:tblPr>
      <w:tr>
        <w:trPr>
          <w:trHeight w:val="248"/>
        </w:trPr>
        <w:tc>
          <w:tcPr>
            <w:tcW w:w="3580" w:type="dxa"/>
            <w:vAlign w:val="bottom"/>
            <w:tcBorders>
              <w:top w:val="single" w:sz="8" w:color="auto"/>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Achievement in Aggregate</w:t>
            </w:r>
          </w:p>
        </w:tc>
        <w:tc>
          <w:tcPr>
            <w:tcW w:w="3560" w:type="dxa"/>
            <w:vAlign w:val="bottom"/>
            <w:tcBorders>
              <w:top w:val="single" w:sz="8" w:color="auto"/>
              <w:right w:val="single" w:sz="8" w:color="auto"/>
            </w:tcBorders>
            <w:vMerge w:val="restart"/>
          </w:tcPr>
          <w:p>
            <w:pPr>
              <w:ind w:left="280"/>
              <w:spacing w:after="0"/>
              <w:rPr>
                <w:sz w:val="20"/>
                <w:szCs w:val="20"/>
                <w:color w:val="auto"/>
              </w:rPr>
            </w:pPr>
            <w:r>
              <w:rPr>
                <w:rFonts w:ascii="Calibri" w:cs="Calibri" w:eastAsia="Calibri" w:hAnsi="Calibri"/>
                <w:sz w:val="20"/>
                <w:szCs w:val="20"/>
                <w:color w:val="auto"/>
              </w:rPr>
              <w:t>Multplier</w:t>
            </w:r>
          </w:p>
        </w:tc>
        <w:tc>
          <w:tcPr>
            <w:tcW w:w="3580" w:type="dxa"/>
            <w:vAlign w:val="bottom"/>
            <w:tcBorders>
              <w:top w:val="single" w:sz="8" w:color="auto"/>
              <w:right w:val="single" w:sz="8" w:color="auto"/>
            </w:tcBorders>
            <w:vMerge w:val="restart"/>
          </w:tcPr>
          <w:p>
            <w:pPr>
              <w:ind w:left="260"/>
              <w:spacing w:after="0"/>
              <w:rPr>
                <w:sz w:val="20"/>
                <w:szCs w:val="20"/>
                <w:color w:val="auto"/>
              </w:rPr>
            </w:pPr>
            <w:r>
              <w:rPr>
                <w:rFonts w:ascii="Calibri" w:cs="Calibri" w:eastAsia="Calibri" w:hAnsi="Calibri"/>
                <w:sz w:val="20"/>
                <w:szCs w:val="20"/>
                <w:color w:val="auto"/>
              </w:rPr>
              <w:t>Final Achievement Result</w:t>
            </w:r>
          </w:p>
        </w:tc>
        <w:tc>
          <w:tcPr>
            <w:tcW w:w="0" w:type="dxa"/>
            <w:vAlign w:val="bottom"/>
          </w:tcPr>
          <w:p>
            <w:pPr>
              <w:spacing w:after="0"/>
              <w:rPr>
                <w:sz w:val="1"/>
                <w:szCs w:val="1"/>
                <w:color w:val="auto"/>
              </w:rPr>
            </w:pPr>
          </w:p>
        </w:tc>
      </w:tr>
      <w:tr>
        <w:trPr>
          <w:trHeight w:val="124"/>
        </w:trPr>
        <w:tc>
          <w:tcPr>
            <w:tcW w:w="3580" w:type="dxa"/>
            <w:vAlign w:val="bottom"/>
            <w:tcBorders>
              <w:left w:val="single" w:sz="8" w:color="auto"/>
              <w:right w:val="single" w:sz="8" w:color="auto"/>
            </w:tcBorders>
          </w:tcPr>
          <w:p>
            <w:pPr>
              <w:spacing w:after="0"/>
              <w:rPr>
                <w:sz w:val="10"/>
                <w:szCs w:val="10"/>
                <w:color w:val="auto"/>
              </w:rPr>
            </w:pPr>
          </w:p>
        </w:tc>
        <w:tc>
          <w:tcPr>
            <w:tcW w:w="3560" w:type="dxa"/>
            <w:vAlign w:val="bottom"/>
            <w:tcBorders>
              <w:right w:val="single" w:sz="8" w:color="auto"/>
            </w:tcBorders>
            <w:vMerge w:val="continue"/>
          </w:tcPr>
          <w:p>
            <w:pPr>
              <w:spacing w:after="0"/>
              <w:rPr>
                <w:sz w:val="10"/>
                <w:szCs w:val="10"/>
                <w:color w:val="auto"/>
              </w:rPr>
            </w:pPr>
          </w:p>
        </w:tc>
        <w:tc>
          <w:tcPr>
            <w:tcW w:w="3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580" w:type="dxa"/>
            <w:vAlign w:val="bottom"/>
            <w:tcBorders>
              <w:left w:val="single" w:sz="8" w:color="auto"/>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80%</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80%</w:t>
            </w:r>
          </w:p>
        </w:tc>
        <w:tc>
          <w:tcPr>
            <w:tcW w:w="3580" w:type="dxa"/>
            <w:vAlign w:val="bottom"/>
            <w:tcBorders>
              <w:right w:val="single" w:sz="8" w:color="auto"/>
            </w:tcBorders>
            <w:vMerge w:val="restart"/>
          </w:tcPr>
          <w:p>
            <w:pPr>
              <w:ind w:left="340"/>
              <w:spacing w:after="0"/>
              <w:rPr>
                <w:sz w:val="20"/>
                <w:szCs w:val="20"/>
                <w:color w:val="auto"/>
              </w:rPr>
            </w:pPr>
            <w:r>
              <w:rPr>
                <w:rFonts w:ascii="Calibri" w:cs="Calibri" w:eastAsia="Calibri" w:hAnsi="Calibri"/>
                <w:sz w:val="20"/>
                <w:szCs w:val="20"/>
                <w:color w:val="auto"/>
              </w:rPr>
              <w:t>64.0%</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356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80" w:type="dxa"/>
            <w:vAlign w:val="bottom"/>
            <w:tcBorders>
              <w:left w:val="single" w:sz="8" w:color="auto"/>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94%</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94%</w:t>
            </w:r>
          </w:p>
        </w:tc>
        <w:tc>
          <w:tcPr>
            <w:tcW w:w="3580" w:type="dxa"/>
            <w:vAlign w:val="bottom"/>
            <w:tcBorders>
              <w:right w:val="single" w:sz="8" w:color="auto"/>
            </w:tcBorders>
          </w:tcPr>
          <w:p>
            <w:pPr>
              <w:ind w:left="340"/>
              <w:spacing w:after="0"/>
              <w:rPr>
                <w:sz w:val="20"/>
                <w:szCs w:val="20"/>
                <w:color w:val="auto"/>
              </w:rPr>
            </w:pPr>
            <w:r>
              <w:rPr>
                <w:rFonts w:ascii="Calibri" w:cs="Calibri" w:eastAsia="Calibri" w:hAnsi="Calibri"/>
                <w:sz w:val="20"/>
                <w:szCs w:val="20"/>
                <w:color w:val="auto"/>
              </w:rPr>
              <w:t>88.4%</w:t>
            </w:r>
          </w:p>
        </w:tc>
        <w:tc>
          <w:tcPr>
            <w:tcW w:w="0" w:type="dxa"/>
            <w:vAlign w:val="bottom"/>
          </w:tcPr>
          <w:p>
            <w:pPr>
              <w:spacing w:after="0"/>
              <w:rPr>
                <w:sz w:val="1"/>
                <w:szCs w:val="1"/>
                <w:color w:val="auto"/>
              </w:rPr>
            </w:pPr>
          </w:p>
        </w:tc>
      </w:tr>
      <w:tr>
        <w:trPr>
          <w:trHeight w:val="181"/>
        </w:trPr>
        <w:tc>
          <w:tcPr>
            <w:tcW w:w="3580" w:type="dxa"/>
            <w:vAlign w:val="bottom"/>
            <w:tcBorders>
              <w:left w:val="single" w:sz="8" w:color="auto"/>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rPr>
                <w:sz w:val="15"/>
                <w:szCs w:val="15"/>
                <w:color w:val="auto"/>
              </w:rPr>
            </w:pPr>
          </w:p>
        </w:tc>
        <w:tc>
          <w:tcPr>
            <w:tcW w:w="35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95%</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95%</w:t>
            </w:r>
          </w:p>
        </w:tc>
        <w:tc>
          <w:tcPr>
            <w:tcW w:w="3580" w:type="dxa"/>
            <w:vAlign w:val="bottom"/>
            <w:tcBorders>
              <w:right w:val="single" w:sz="8" w:color="auto"/>
            </w:tcBorders>
            <w:vMerge w:val="restart"/>
          </w:tcPr>
          <w:p>
            <w:pPr>
              <w:ind w:left="340"/>
              <w:spacing w:after="0"/>
              <w:rPr>
                <w:sz w:val="20"/>
                <w:szCs w:val="20"/>
                <w:color w:val="auto"/>
              </w:rPr>
            </w:pPr>
            <w:r>
              <w:rPr>
                <w:rFonts w:ascii="Calibri" w:cs="Calibri" w:eastAsia="Calibri" w:hAnsi="Calibri"/>
                <w:sz w:val="20"/>
                <w:szCs w:val="20"/>
                <w:color w:val="auto"/>
              </w:rPr>
              <w:t>90.3%</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356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80" w:type="dxa"/>
            <w:vAlign w:val="bottom"/>
            <w:tcBorders>
              <w:left w:val="single" w:sz="8" w:color="auto"/>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100%</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100%</w:t>
            </w:r>
          </w:p>
        </w:tc>
        <w:tc>
          <w:tcPr>
            <w:tcW w:w="3580" w:type="dxa"/>
            <w:vAlign w:val="bottom"/>
            <w:tcBorders>
              <w:right w:val="single" w:sz="8" w:color="auto"/>
            </w:tcBorders>
            <w:vMerge w:val="restart"/>
          </w:tcPr>
          <w:p>
            <w:pPr>
              <w:ind w:left="340"/>
              <w:spacing w:after="0"/>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356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80" w:type="dxa"/>
            <w:vAlign w:val="bottom"/>
            <w:tcBorders>
              <w:left w:val="single" w:sz="8" w:color="auto"/>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110%</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110%</w:t>
            </w:r>
          </w:p>
        </w:tc>
        <w:tc>
          <w:tcPr>
            <w:tcW w:w="3580" w:type="dxa"/>
            <w:vAlign w:val="bottom"/>
            <w:tcBorders>
              <w:right w:val="single" w:sz="8" w:color="auto"/>
            </w:tcBorders>
            <w:vMerge w:val="restart"/>
          </w:tcPr>
          <w:p>
            <w:pPr>
              <w:ind w:left="340"/>
              <w:spacing w:after="0"/>
              <w:rPr>
                <w:sz w:val="20"/>
                <w:szCs w:val="20"/>
                <w:color w:val="auto"/>
              </w:rPr>
            </w:pPr>
            <w:r>
              <w:rPr>
                <w:rFonts w:ascii="Calibri" w:cs="Calibri" w:eastAsia="Calibri" w:hAnsi="Calibri"/>
                <w:sz w:val="20"/>
                <w:szCs w:val="20"/>
                <w:color w:val="auto"/>
              </w:rPr>
              <w:t>121.0%</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356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80" w:type="dxa"/>
            <w:vAlign w:val="bottom"/>
            <w:tcBorders>
              <w:left w:val="single" w:sz="8" w:color="auto"/>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134%</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134%</w:t>
            </w:r>
          </w:p>
        </w:tc>
        <w:tc>
          <w:tcPr>
            <w:tcW w:w="3580" w:type="dxa"/>
            <w:vAlign w:val="bottom"/>
            <w:tcBorders>
              <w:right w:val="single" w:sz="8" w:color="auto"/>
            </w:tcBorders>
            <w:vMerge w:val="restart"/>
          </w:tcPr>
          <w:p>
            <w:pPr>
              <w:ind w:left="340"/>
              <w:spacing w:after="0"/>
              <w:rPr>
                <w:sz w:val="20"/>
                <w:szCs w:val="20"/>
                <w:color w:val="auto"/>
              </w:rPr>
            </w:pPr>
            <w:r>
              <w:rPr>
                <w:rFonts w:ascii="Calibri" w:cs="Calibri" w:eastAsia="Calibri" w:hAnsi="Calibri"/>
                <w:sz w:val="20"/>
                <w:szCs w:val="20"/>
                <w:color w:val="auto"/>
              </w:rPr>
              <w:t>179.6%</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tcPr>
          <w:p>
            <w:pPr>
              <w:spacing w:after="0"/>
              <w:rPr>
                <w:sz w:val="11"/>
                <w:szCs w:val="11"/>
                <w:color w:val="auto"/>
              </w:rPr>
            </w:pPr>
          </w:p>
        </w:tc>
        <w:tc>
          <w:tcPr>
            <w:tcW w:w="356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80" w:type="dxa"/>
            <w:vAlign w:val="bottom"/>
            <w:tcBorders>
              <w:left w:val="single" w:sz="8" w:color="auto"/>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3580" w:type="dxa"/>
            <w:vAlign w:val="bottom"/>
            <w:tcBorders>
              <w:left w:val="single" w:sz="8" w:color="auto"/>
              <w:right w:val="single" w:sz="8" w:color="auto"/>
            </w:tcBorders>
            <w:vMerge w:val="restart"/>
          </w:tcPr>
          <w:p>
            <w:pPr>
              <w:ind w:left="80"/>
              <w:spacing w:after="0"/>
              <w:rPr>
                <w:sz w:val="20"/>
                <w:szCs w:val="20"/>
                <w:color w:val="auto"/>
              </w:rPr>
            </w:pPr>
            <w:r>
              <w:rPr>
                <w:rFonts w:ascii="Calibri" w:cs="Calibri" w:eastAsia="Calibri" w:hAnsi="Calibri"/>
                <w:sz w:val="20"/>
                <w:szCs w:val="20"/>
                <w:color w:val="auto"/>
              </w:rPr>
              <w:t>185%</w:t>
            </w:r>
          </w:p>
        </w:tc>
        <w:tc>
          <w:tcPr>
            <w:tcW w:w="3560" w:type="dxa"/>
            <w:vAlign w:val="bottom"/>
            <w:tcBorders>
              <w:right w:val="single" w:sz="8" w:color="auto"/>
            </w:tcBorders>
          </w:tcPr>
          <w:p>
            <w:pPr>
              <w:ind w:left="160"/>
              <w:spacing w:after="0"/>
              <w:rPr>
                <w:sz w:val="20"/>
                <w:szCs w:val="20"/>
                <w:color w:val="auto"/>
              </w:rPr>
            </w:pPr>
            <w:r>
              <w:rPr>
                <w:rFonts w:ascii="Calibri" w:cs="Calibri" w:eastAsia="Calibri" w:hAnsi="Calibri"/>
                <w:sz w:val="20"/>
                <w:szCs w:val="20"/>
                <w:color w:val="auto"/>
              </w:rPr>
              <w:t>185%</w:t>
            </w:r>
          </w:p>
        </w:tc>
        <w:tc>
          <w:tcPr>
            <w:tcW w:w="3580" w:type="dxa"/>
            <w:vAlign w:val="bottom"/>
            <w:tcBorders>
              <w:right w:val="single" w:sz="8" w:color="auto"/>
            </w:tcBorders>
          </w:tcPr>
          <w:p>
            <w:pPr>
              <w:ind w:left="340"/>
              <w:spacing w:after="0"/>
              <w:rPr>
                <w:sz w:val="20"/>
                <w:szCs w:val="20"/>
                <w:color w:val="auto"/>
              </w:rPr>
            </w:pPr>
            <w:r>
              <w:rPr>
                <w:rFonts w:ascii="Calibri" w:cs="Calibri" w:eastAsia="Calibri" w:hAnsi="Calibri"/>
                <w:sz w:val="20"/>
                <w:szCs w:val="20"/>
                <w:color w:val="auto"/>
              </w:rPr>
              <w:t>342.3%</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vMerge w:val="continue"/>
          </w:tcPr>
          <w:p>
            <w:pPr>
              <w:spacing w:after="0"/>
              <w:rPr>
                <w:sz w:val="11"/>
                <w:szCs w:val="11"/>
                <w:color w:val="auto"/>
              </w:rPr>
            </w:pPr>
          </w:p>
        </w:tc>
        <w:tc>
          <w:tcPr>
            <w:tcW w:w="3560" w:type="dxa"/>
            <w:vAlign w:val="bottom"/>
            <w:tcBorders>
              <w:right w:val="single" w:sz="8" w:color="auto"/>
            </w:tcBorders>
          </w:tcPr>
          <w:p>
            <w:pPr>
              <w:spacing w:after="0"/>
              <w:rPr>
                <w:sz w:val="11"/>
                <w:szCs w:val="11"/>
                <w:color w:val="auto"/>
              </w:rPr>
            </w:pPr>
          </w:p>
        </w:tc>
        <w:tc>
          <w:tcPr>
            <w:tcW w:w="3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580" w:type="dxa"/>
            <w:vAlign w:val="bottom"/>
            <w:tcBorders>
              <w:left w:val="single" w:sz="8" w:color="auto"/>
              <w:bottom w:val="single" w:sz="8" w:color="auto"/>
              <w:right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Bonus Calculaton</w:t>
      </w:r>
    </w:p>
    <w:p>
      <w:pPr>
        <w:jc w:val="both"/>
        <w:ind w:right="20"/>
        <w:spacing w:after="0" w:line="192" w:lineRule="auto"/>
        <w:rPr>
          <w:sz w:val="20"/>
          <w:szCs w:val="20"/>
          <w:color w:val="auto"/>
        </w:rPr>
      </w:pPr>
      <w:r>
        <w:rPr>
          <w:rFonts w:ascii="Calibri" w:cs="Calibri" w:eastAsia="Calibri" w:hAnsi="Calibri"/>
          <w:sz w:val="22"/>
          <w:szCs w:val="22"/>
          <w:color w:val="auto"/>
        </w:rPr>
        <w:t>The bonus calculaton for each year is a two-step process. Bonus calculatons are prorated for days worked in the Plan Period, subject to applicable law.</w:t>
      </w:r>
    </w:p>
    <w:p>
      <w:pPr>
        <w:spacing w:after="0" w:line="164"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Steps</w:t>
      </w:r>
    </w:p>
    <w:p>
      <w:pPr>
        <w:sectPr>
          <w:pgSz w:w="11900" w:h="16838" w:orient="portrait"/>
          <w:cols w:equalWidth="0" w:num="1">
            <w:col w:w="10980"/>
          </w:cols>
          <w:pgMar w:left="320" w:top="1383"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0980"/>
          </w:cols>
          <w:pgMar w:left="320" w:top="1383" w:right="599" w:bottom="1440" w:gutter="0" w:footer="0" w:header="0"/>
          <w:type w:val="continuous"/>
        </w:sectPr>
      </w:pPr>
    </w:p>
    <w:bookmarkStart w:id="103" w:name="page104"/>
    <w:bookmarkEnd w:id="103"/>
    <w:p>
      <w:pPr>
        <w:ind w:left="340" w:right="440" w:hanging="332"/>
        <w:spacing w:after="0" w:line="221" w:lineRule="auto"/>
        <w:tabs>
          <w:tab w:leader="none" w:pos="328" w:val="left"/>
        </w:tabs>
        <w:numPr>
          <w:ilvl w:val="0"/>
          <w:numId w:val="33"/>
        </w:numPr>
        <w:rPr>
          <w:rFonts w:ascii="Calibri" w:cs="Calibri" w:eastAsia="Calibri" w:hAnsi="Calibri"/>
          <w:sz w:val="21"/>
          <w:szCs w:val="21"/>
          <w:color w:val="auto"/>
        </w:rPr>
      </w:pPr>
      <w:r>
        <w:rPr>
          <w:rFonts w:ascii="Calibri" w:cs="Calibri" w:eastAsia="Calibri" w:hAnsi="Calibri"/>
          <w:sz w:val="21"/>
          <w:szCs w:val="21"/>
          <w:color w:val="auto"/>
        </w:rPr>
        <w:t>The fnancial metrics are calculated. If the weighted average is over the minimum achievement of 80% specifed above, multpliers will be applied to the fnancial metric, which will be used to calculate the preliminary bonus amount.</w:t>
      </w:r>
    </w:p>
    <w:p>
      <w:pPr>
        <w:spacing w:after="0" w:line="175" w:lineRule="exact"/>
        <w:rPr>
          <w:rFonts w:ascii="Calibri" w:cs="Calibri" w:eastAsia="Calibri" w:hAnsi="Calibri"/>
          <w:sz w:val="21"/>
          <w:szCs w:val="21"/>
          <w:color w:val="auto"/>
        </w:rPr>
      </w:pPr>
    </w:p>
    <w:p>
      <w:pPr>
        <w:ind w:left="340" w:right="40" w:hanging="332"/>
        <w:spacing w:after="0" w:line="202" w:lineRule="auto"/>
        <w:tabs>
          <w:tab w:leader="none" w:pos="328" w:val="left"/>
        </w:tabs>
        <w:numPr>
          <w:ilvl w:val="0"/>
          <w:numId w:val="33"/>
        </w:numPr>
        <w:rPr>
          <w:rFonts w:ascii="Calibri" w:cs="Calibri" w:eastAsia="Calibri" w:hAnsi="Calibri"/>
          <w:sz w:val="22"/>
          <w:szCs w:val="22"/>
          <w:color w:val="auto"/>
        </w:rPr>
      </w:pPr>
      <w:r>
        <w:rPr>
          <w:rFonts w:ascii="Calibri" w:cs="Calibri" w:eastAsia="Calibri" w:hAnsi="Calibri"/>
          <w:sz w:val="22"/>
          <w:szCs w:val="22"/>
          <w:color w:val="auto"/>
        </w:rPr>
        <w:t>For every $1 above the Adjusted Pre-Tax Net Income target specifed in Exhibit B hereto, [***] cents will be added to the Bonus Pool for 1H. For every $1 below the Adjusted Pre-Tax Net Income Target, [***] cents will be removed from the Bonus Pool for 1H (this amount will be revised as part of the 2H planning process). Any adjustments to the Bonus Pool will be applied on a prorated basis to the preliminary bonus amount and a fnal bonus amount will be calculated.</w:t>
      </w:r>
    </w:p>
    <w:p>
      <w:pPr>
        <w:spacing w:after="0" w:line="176" w:lineRule="exact"/>
        <w:rPr>
          <w:sz w:val="20"/>
          <w:szCs w:val="20"/>
          <w:color w:val="auto"/>
        </w:rPr>
      </w:pPr>
    </w:p>
    <w:p>
      <w:pPr>
        <w:spacing w:after="0" w:line="204" w:lineRule="auto"/>
        <w:rPr>
          <w:sz w:val="20"/>
          <w:szCs w:val="20"/>
          <w:color w:val="auto"/>
        </w:rPr>
      </w:pPr>
      <w:r>
        <w:rPr>
          <w:rFonts w:ascii="Calibri" w:cs="Calibri" w:eastAsia="Calibri" w:hAnsi="Calibri"/>
          <w:sz w:val="22"/>
          <w:szCs w:val="22"/>
          <w:color w:val="auto"/>
        </w:rPr>
        <w:t>Bonus calculaton for each Partcipant, including any Bonus Pool adjustment, for each half is capped at 250% of the Partcipant’s target bonus. Bonus payouts are then prorated based on the number of days worked during the Plan Period divided by the number of days in Plan Period.</w:t>
      </w:r>
    </w:p>
    <w:p>
      <w:pPr>
        <w:spacing w:after="0" w:line="223" w:lineRule="exact"/>
        <w:rPr>
          <w:sz w:val="20"/>
          <w:szCs w:val="20"/>
          <w:color w:val="auto"/>
        </w:rPr>
      </w:pPr>
    </w:p>
    <w:p>
      <w:pPr>
        <w:ind w:left="580"/>
        <w:spacing w:after="0"/>
        <w:rPr>
          <w:sz w:val="20"/>
          <w:szCs w:val="20"/>
          <w:color w:val="auto"/>
        </w:rPr>
      </w:pPr>
      <w:r>
        <w:rPr>
          <w:rFonts w:ascii="Calibri" w:cs="Calibri" w:eastAsia="Calibri" w:hAnsi="Calibri"/>
          <w:sz w:val="22"/>
          <w:szCs w:val="22"/>
          <w:i w:val="1"/>
          <w:iCs w:val="1"/>
          <w:color w:val="auto"/>
        </w:rPr>
        <w:t>Bonus Calculaton Example</w:t>
      </w:r>
    </w:p>
    <w:p>
      <w:pPr>
        <w:spacing w:after="0" w:line="269" w:lineRule="exact"/>
        <w:rPr>
          <w:sz w:val="20"/>
          <w:szCs w:val="20"/>
          <w:color w:val="auto"/>
        </w:rPr>
      </w:pPr>
    </w:p>
    <w:p>
      <w:pPr>
        <w:ind w:left="1380"/>
        <w:spacing w:after="0"/>
        <w:rPr>
          <w:sz w:val="20"/>
          <w:szCs w:val="20"/>
          <w:color w:val="auto"/>
        </w:rPr>
      </w:pPr>
      <w:r>
        <w:rPr>
          <w:rFonts w:ascii="Calibri" w:cs="Calibri" w:eastAsia="Calibri" w:hAnsi="Calibri"/>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160"/>
          </w:cols>
          <w:pgMar w:left="320" w:top="1393" w:right="419" w:bottom="1440" w:gutter="0" w:footer="0" w:header="0"/>
        </w:sectPr>
      </w:pPr>
    </w:p>
    <w:bookmarkStart w:id="104" w:name="page105"/>
    <w:bookmarkEnd w:id="104"/>
    <w:p>
      <w:pPr>
        <w:spacing w:after="0"/>
        <w:rPr>
          <w:sz w:val="20"/>
          <w:szCs w:val="20"/>
          <w:color w:val="auto"/>
        </w:rPr>
      </w:pPr>
      <w:r>
        <w:rPr>
          <w:rFonts w:ascii="Calibri" w:cs="Calibri" w:eastAsia="Calibri" w:hAnsi="Calibri"/>
          <w:sz w:val="22"/>
          <w:szCs w:val="22"/>
          <w:b w:val="1"/>
          <w:bCs w:val="1"/>
          <w:color w:val="auto"/>
        </w:rPr>
        <w:t>Reductons During Company-Approved Leaves of Absence</w:t>
      </w:r>
    </w:p>
    <w:p>
      <w:pPr>
        <w:spacing w:after="0" w:line="174" w:lineRule="exact"/>
        <w:rPr>
          <w:sz w:val="20"/>
          <w:szCs w:val="20"/>
          <w:color w:val="auto"/>
        </w:rPr>
      </w:pPr>
    </w:p>
    <w:p>
      <w:pPr>
        <w:ind w:right="220"/>
        <w:spacing w:after="0" w:line="202" w:lineRule="auto"/>
        <w:rPr>
          <w:sz w:val="20"/>
          <w:szCs w:val="20"/>
          <w:color w:val="auto"/>
        </w:rPr>
      </w:pPr>
      <w:r>
        <w:rPr>
          <w:rFonts w:ascii="Calibri" w:cs="Calibri" w:eastAsia="Calibri" w:hAnsi="Calibri"/>
          <w:sz w:val="22"/>
          <w:szCs w:val="22"/>
          <w:color w:val="auto"/>
        </w:rPr>
        <w:t xml:space="preserve">If a Partcipant goes on a Company-approved leave of absence, the Company may reduce the Partcipant’s bonus target on a pro-rated basis, to the extent permited by law. This pro-rata reducton will </w:t>
      </w:r>
      <w:r>
        <w:rPr>
          <w:rFonts w:ascii="Calibri" w:cs="Calibri" w:eastAsia="Calibri" w:hAnsi="Calibri"/>
          <w:sz w:val="22"/>
          <w:szCs w:val="22"/>
          <w:i w:val="1"/>
          <w:iCs w:val="1"/>
          <w:color w:val="auto"/>
        </w:rPr>
        <w:t>not</w:t>
      </w:r>
      <w:r>
        <w:rPr>
          <w:rFonts w:ascii="Calibri" w:cs="Calibri" w:eastAsia="Calibri" w:hAnsi="Calibri"/>
          <w:sz w:val="22"/>
          <w:szCs w:val="22"/>
          <w:color w:val="auto"/>
        </w:rPr>
        <w:t xml:space="preserve"> apply during the frst four weeks of any Company-approved and </w:t>
      </w:r>
      <w:r>
        <w:rPr>
          <w:rFonts w:ascii="Calibri" w:cs="Calibri" w:eastAsia="Calibri" w:hAnsi="Calibri"/>
          <w:sz w:val="22"/>
          <w:szCs w:val="22"/>
          <w:i w:val="1"/>
          <w:iCs w:val="1"/>
          <w:color w:val="auto"/>
        </w:rPr>
        <w:t>paid</w:t>
      </w:r>
      <w:r>
        <w:rPr>
          <w:rFonts w:ascii="Calibri" w:cs="Calibri" w:eastAsia="Calibri" w:hAnsi="Calibri"/>
          <w:sz w:val="22"/>
          <w:szCs w:val="22"/>
          <w:color w:val="auto"/>
        </w:rPr>
        <w:t xml:space="preserve"> leave of absence, or during the frst 12 weeks of any maternity leave. This pause in the reducton of a bonus target is referred to as a “Paid Leave Bonus Credit”.</w:t>
      </w:r>
    </w:p>
    <w:p>
      <w:pPr>
        <w:spacing w:after="0" w:line="68" w:lineRule="exact"/>
        <w:rPr>
          <w:sz w:val="20"/>
          <w:szCs w:val="20"/>
          <w:color w:val="auto"/>
        </w:rPr>
      </w:pPr>
    </w:p>
    <w:p>
      <w:pPr>
        <w:ind w:right="60"/>
        <w:spacing w:after="0" w:line="223" w:lineRule="auto"/>
        <w:rPr>
          <w:sz w:val="20"/>
          <w:szCs w:val="20"/>
          <w:color w:val="auto"/>
        </w:rPr>
      </w:pPr>
      <w:r>
        <w:rPr>
          <w:rFonts w:ascii="Calibri" w:cs="Calibri" w:eastAsia="Calibri" w:hAnsi="Calibri"/>
          <w:sz w:val="21"/>
          <w:szCs w:val="21"/>
          <w:color w:val="auto"/>
        </w:rPr>
        <w:t xml:space="preserve">A Partcipant is enttled to only one Paid Leave Bonus Credit per Plan Year. Where a single leave of absence extends from one Plan Year to the next, the Partcipant may not apply a new Paid Leave Bonus Credit to the </w:t>
      </w:r>
      <w:r>
        <w:rPr>
          <w:rFonts w:ascii="Cambria" w:cs="Cambria" w:eastAsia="Cambria" w:hAnsi="Cambria"/>
          <w:sz w:val="21"/>
          <w:szCs w:val="21"/>
          <w:b w:val="1"/>
          <w:bCs w:val="1"/>
          <w:color w:val="auto"/>
        </w:rPr>
        <w:t>same leave of absence as it passes</w:t>
      </w:r>
      <w:r>
        <w:rPr>
          <w:rFonts w:ascii="Calibri" w:cs="Calibri" w:eastAsia="Calibri" w:hAnsi="Calibri"/>
          <w:sz w:val="21"/>
          <w:szCs w:val="21"/>
          <w:color w:val="auto"/>
        </w:rPr>
        <w:t xml:space="preserve"> </w:t>
      </w:r>
      <w:r>
        <w:rPr>
          <w:rFonts w:ascii="Cambria" w:cs="Cambria" w:eastAsia="Cambria" w:hAnsi="Cambria"/>
          <w:sz w:val="21"/>
          <w:szCs w:val="21"/>
          <w:b w:val="1"/>
          <w:bCs w:val="1"/>
          <w:color w:val="auto"/>
        </w:rPr>
        <w:t xml:space="preserve">into the subsequent Plan Year. </w:t>
      </w:r>
      <w:r>
        <w:rPr>
          <w:rFonts w:ascii="Calibri" w:cs="Calibri" w:eastAsia="Calibri" w:hAnsi="Calibri"/>
          <w:sz w:val="21"/>
          <w:szCs w:val="21"/>
          <w:color w:val="auto"/>
        </w:rPr>
        <w:t>However, the Partcipant will not be precluded from Paid Leave Bonus Credit in the</w:t>
      </w:r>
    </w:p>
    <w:p>
      <w:pPr>
        <w:spacing w:after="0" w:line="2" w:lineRule="exact"/>
        <w:rPr>
          <w:sz w:val="20"/>
          <w:szCs w:val="20"/>
          <w:color w:val="auto"/>
        </w:rPr>
      </w:pPr>
    </w:p>
    <w:p>
      <w:pPr>
        <w:ind w:right="380"/>
        <w:spacing w:after="0" w:line="192" w:lineRule="auto"/>
        <w:rPr>
          <w:sz w:val="20"/>
          <w:szCs w:val="20"/>
          <w:color w:val="auto"/>
        </w:rPr>
      </w:pPr>
      <w:r>
        <w:rPr>
          <w:rFonts w:ascii="Calibri" w:cs="Calibri" w:eastAsia="Calibri" w:hAnsi="Calibri"/>
          <w:sz w:val="22"/>
          <w:szCs w:val="22"/>
          <w:color w:val="auto"/>
        </w:rPr>
        <w:t>subsequent Plan Year should the Partcipant need to take a second, unrelated leave of absence. Any Paid Leave Bonus Credit during such second leave of absence shall be reduced by the amount of credit previously taken in that same year.</w:t>
      </w:r>
    </w:p>
    <w:p>
      <w:pPr>
        <w:spacing w:after="0" w:line="68" w:lineRule="exact"/>
        <w:rPr>
          <w:sz w:val="20"/>
          <w:szCs w:val="20"/>
          <w:color w:val="auto"/>
        </w:rPr>
      </w:pPr>
    </w:p>
    <w:p>
      <w:pPr>
        <w:ind w:right="700"/>
        <w:spacing w:after="0" w:line="210" w:lineRule="auto"/>
        <w:rPr>
          <w:sz w:val="20"/>
          <w:szCs w:val="20"/>
          <w:color w:val="auto"/>
        </w:rPr>
      </w:pPr>
      <w:r>
        <w:rPr>
          <w:rFonts w:ascii="Calibri" w:cs="Calibri" w:eastAsia="Calibri" w:hAnsi="Calibri"/>
          <w:sz w:val="22"/>
          <w:szCs w:val="22"/>
          <w:color w:val="auto"/>
        </w:rPr>
        <w:t>In the case of intermitent leave, any pro-rata reducton or Paid Leave Bonus Credit will be based on the amount of leave actually taken, not on the span of tme during which intermitent leave occurred.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Standards of Conduct</w:t>
      </w:r>
    </w:p>
    <w:p>
      <w:pPr>
        <w:ind w:right="120"/>
        <w:spacing w:after="0" w:line="193" w:lineRule="auto"/>
        <w:rPr>
          <w:sz w:val="20"/>
          <w:szCs w:val="20"/>
          <w:color w:val="auto"/>
        </w:rPr>
      </w:pPr>
      <w:r>
        <w:rPr>
          <w:rFonts w:ascii="Calibri" w:cs="Calibri" w:eastAsia="Calibri" w:hAnsi="Calibri"/>
          <w:sz w:val="22"/>
          <w:szCs w:val="22"/>
          <w:color w:val="auto"/>
        </w:rPr>
        <w:t>Any violaton of the Company’s policies, including PubMatc’s Code of Business Conduct and Ethics and/or Ant-Bribery Policy, may result in a negatve penalty on eligibility to accrue and/or receive bonuses under this Plan, and may subject the Partcipant to disciplinary acton, up to and including terminaton of employment.</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color w:val="auto"/>
        </w:rPr>
        <w:t>By signing below, Partcipant agrees to abide by any and all Company policies in efect during the Plan Year.</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Partcipants Who Become Ineligible or Who Are Terminated</w:t>
      </w:r>
    </w:p>
    <w:p>
      <w:pPr>
        <w:jc w:val="both"/>
        <w:spacing w:after="0" w:line="193" w:lineRule="auto"/>
        <w:rPr>
          <w:sz w:val="20"/>
          <w:szCs w:val="20"/>
          <w:color w:val="auto"/>
        </w:rPr>
      </w:pPr>
      <w:r>
        <w:rPr>
          <w:rFonts w:ascii="Calibri" w:cs="Calibri" w:eastAsia="Calibri" w:hAnsi="Calibri"/>
          <w:sz w:val="22"/>
          <w:szCs w:val="22"/>
          <w:color w:val="auto"/>
        </w:rPr>
        <w:t>If a Partcipant becomes ineligible to partcipate in the Plan because the Partcipant is transferred into a Company positon that is not eligible to partcipate in this Plan, the Partcipant’s targets under this Plan will be pro-rated according to the last day of work under this Plan immediately prior to the transfer.</w:t>
      </w:r>
    </w:p>
    <w:p>
      <w:pPr>
        <w:spacing w:after="0" w:line="201" w:lineRule="exact"/>
        <w:rPr>
          <w:sz w:val="20"/>
          <w:szCs w:val="20"/>
          <w:color w:val="auto"/>
        </w:rPr>
      </w:pPr>
    </w:p>
    <w:p>
      <w:pPr>
        <w:ind w:right="20"/>
        <w:spacing w:after="0" w:line="198" w:lineRule="auto"/>
        <w:rPr>
          <w:sz w:val="20"/>
          <w:szCs w:val="20"/>
          <w:color w:val="auto"/>
        </w:rPr>
      </w:pPr>
      <w:r>
        <w:rPr>
          <w:rFonts w:ascii="Calibri" w:cs="Calibri" w:eastAsia="Calibri" w:hAnsi="Calibri"/>
          <w:sz w:val="22"/>
          <w:szCs w:val="22"/>
          <w:color w:val="auto"/>
        </w:rPr>
        <w:t>If a Partcipant becomes ineligible to partcipate in the Plan because the Partcipant’s employment with the Company terminates for any reason or the Partcipant is under notce of employment terminaton (whether given or received) prior to the applicable Bonus Payment Date (i.e., by voluntary resignaton, involuntary terminaton, or death or otherwise), the Partcipant’s eligibility to earn any future bonus under this Plan shall cease on the Partcipant’s fnal day of employment, except to the extent prohibited by applicable law. To be clear, for a Partcipant to earn any bonus under this Plan, the Partcipant must be employed on the Bonus Payment Date, except as prohibited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240"/>
          </w:cols>
          <w:pgMar w:left="320" w:top="1383" w:right="339" w:bottom="1440" w:gutter="0" w:footer="0" w:header="0"/>
        </w:sectPr>
      </w:pPr>
    </w:p>
    <w:bookmarkStart w:id="105" w:name="page106"/>
    <w:bookmarkEnd w:id="105"/>
    <w:p>
      <w:pPr>
        <w:spacing w:after="0"/>
        <w:rPr>
          <w:sz w:val="20"/>
          <w:szCs w:val="20"/>
          <w:color w:val="auto"/>
        </w:rPr>
      </w:pPr>
      <w:r>
        <w:rPr>
          <w:rFonts w:ascii="Calibri" w:cs="Calibri" w:eastAsia="Calibri" w:hAnsi="Calibri"/>
          <w:sz w:val="22"/>
          <w:szCs w:val="22"/>
          <w:b w:val="1"/>
          <w:bCs w:val="1"/>
          <w:color w:val="auto"/>
        </w:rPr>
        <w:t>Overpayment of Bonuses</w:t>
      </w:r>
    </w:p>
    <w:p>
      <w:pPr>
        <w:spacing w:after="0" w:line="193" w:lineRule="auto"/>
        <w:rPr>
          <w:sz w:val="20"/>
          <w:szCs w:val="20"/>
          <w:color w:val="auto"/>
        </w:rPr>
      </w:pPr>
      <w:r>
        <w:rPr>
          <w:rFonts w:ascii="Calibri" w:cs="Calibri" w:eastAsia="Calibri" w:hAnsi="Calibri"/>
          <w:sz w:val="22"/>
          <w:szCs w:val="22"/>
          <w:color w:val="auto"/>
        </w:rPr>
        <w:t>By signing the Plan, the Partcipant agrees to promptly repay the Company for any bonus overpayment made to the Partcipant (e.g., due to miscalculaton, payroll errors), and agrees to authorize the Company to make deductons from the Partcipant’s earned wages and/or future bonus payments under the Plan, to recover any overpayments. In the event the Partcipant and the Company cannot agree on repayment terms, the Company reserves all its legal rights, including its right to initate legal acton to recover the overpayment and/or to deduct the overpayment from the Partcipant’s earned wages (including the Partcipant’s fnal paycheck) in accordance with applicable laws.</w:t>
      </w:r>
    </w:p>
    <w:p>
      <w:pPr>
        <w:spacing w:after="0" w:line="18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Company’s Rights</w:t>
      </w:r>
    </w:p>
    <w:p>
      <w:pPr>
        <w:jc w:val="both"/>
        <w:ind w:right="260"/>
        <w:spacing w:after="0" w:line="193" w:lineRule="auto"/>
        <w:rPr>
          <w:sz w:val="20"/>
          <w:szCs w:val="20"/>
          <w:color w:val="auto"/>
        </w:rPr>
      </w:pPr>
      <w:r>
        <w:rPr>
          <w:rFonts w:ascii="Calibri" w:cs="Calibri" w:eastAsia="Calibri" w:hAnsi="Calibri"/>
          <w:sz w:val="22"/>
          <w:szCs w:val="22"/>
          <w:color w:val="auto"/>
        </w:rPr>
        <w:t>The Company reserves the right to accept and reject customers and proposed agreements with customers, to set and modify prices and discounts, and to otherwise make all decisions with respect to the Company’s business. No bonuses will be earned for any contracts not approved by, or otherwise rejected by, the Company for any reason.</w:t>
      </w:r>
    </w:p>
    <w:p>
      <w:pPr>
        <w:spacing w:after="0" w:line="1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Plan Administraton</w:t>
      </w:r>
    </w:p>
    <w:p>
      <w:pPr>
        <w:ind w:right="20"/>
        <w:spacing w:after="0" w:line="193" w:lineRule="auto"/>
        <w:rPr>
          <w:sz w:val="20"/>
          <w:szCs w:val="20"/>
          <w:color w:val="auto"/>
        </w:rPr>
      </w:pPr>
      <w:r>
        <w:rPr>
          <w:rFonts w:ascii="Calibri" w:cs="Calibri" w:eastAsia="Calibri" w:hAnsi="Calibri"/>
          <w:sz w:val="22"/>
          <w:szCs w:val="22"/>
          <w:color w:val="auto"/>
        </w:rPr>
        <w:t>This Plan is authorized and administered by the Board, who has sole authority to interpret the Plan and to make or nullify any provision or procedure, as deemed necessary, for proper administraton of the Plan, or a designed commitee of the Board. Unless otherwise prohibited by law, any determinaton by the Board or its designated commitee regarding the Plan or any of its provisions or procedures shall be fnal and binding as to all afected Partcipants.</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Plan Changes or Discontnuance</w:t>
      </w:r>
    </w:p>
    <w:p>
      <w:pPr>
        <w:ind w:right="80"/>
        <w:spacing w:after="0" w:line="193" w:lineRule="auto"/>
        <w:rPr>
          <w:sz w:val="20"/>
          <w:szCs w:val="20"/>
          <w:color w:val="auto"/>
        </w:rPr>
      </w:pPr>
      <w:r>
        <w:rPr>
          <w:rFonts w:ascii="Calibri" w:cs="Calibri" w:eastAsia="Calibri" w:hAnsi="Calibri"/>
          <w:sz w:val="22"/>
          <w:szCs w:val="22"/>
          <w:color w:val="auto"/>
        </w:rPr>
        <w:t>Except as limited by applicable law, the Company reserves the right to modify, discontnue, or otherwise change the Plan or any of its provisions at any tme for any reason, including, without limitaton, the right to modify or change a Partcipant’s weightngs, targets/metrics, achievement criteria (including thresholds or caps for specifc target achievement) or bonus payments to account, among other things, for Company fnancial performance, change in market conditons, client circumstances that are outside of Partcipant control, non-recurring charges, makegoods or other fnancial factors, as well as a Partcipant’s performance or failure to comply with the Company’s policies or procedures. Any such modifcaton, discontnuance or change shall be made in a writen document and provided to the afected Partcipant or Partcipants.</w:t>
      </w:r>
    </w:p>
    <w:p>
      <w:pPr>
        <w:spacing w:after="0" w:line="19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At-Will Employment</w:t>
      </w:r>
    </w:p>
    <w:p>
      <w:pPr>
        <w:jc w:val="both"/>
        <w:spacing w:after="0" w:line="193" w:lineRule="auto"/>
        <w:rPr>
          <w:sz w:val="20"/>
          <w:szCs w:val="20"/>
          <w:color w:val="auto"/>
        </w:rPr>
      </w:pPr>
      <w:r>
        <w:rPr>
          <w:rFonts w:ascii="Calibri" w:cs="Calibri" w:eastAsia="Calibri" w:hAnsi="Calibri"/>
          <w:sz w:val="22"/>
          <w:szCs w:val="22"/>
          <w:color w:val="auto"/>
        </w:rPr>
        <w:t>If Partcipant is an at-will employee, nothing in this Plan alters or modifes the at-will nature of a Partcipant’s employment with the Company, and the Partcipant and the Company have the right to terminate the at-will employment relatonship at any tme, with or without notce or cause, except as limited by applicable laws or the Partcipant’s Employment Agreement.</w:t>
      </w:r>
    </w:p>
    <w:p>
      <w:pPr>
        <w:spacing w:after="0" w:line="18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Governing Law</w:t>
      </w:r>
    </w:p>
    <w:p>
      <w:pPr>
        <w:spacing w:after="0" w:line="193" w:lineRule="auto"/>
        <w:rPr>
          <w:sz w:val="20"/>
          <w:szCs w:val="20"/>
          <w:color w:val="auto"/>
        </w:rPr>
      </w:pPr>
      <w:r>
        <w:rPr>
          <w:rFonts w:ascii="Calibri" w:cs="Calibri" w:eastAsia="Calibri" w:hAnsi="Calibri"/>
          <w:sz w:val="22"/>
          <w:szCs w:val="22"/>
          <w:color w:val="auto"/>
        </w:rPr>
        <w:t>This Plan and all agreements hereunder, including any atachments, schedules, exhibits, and subsequent modifcatons to the Plan, shall be governed by and construed in accordance with the laws of the State of California, USA without giving efect to that body of laws pertaining to confict of laws.</w:t>
      </w:r>
    </w:p>
    <w:p>
      <w:pPr>
        <w:spacing w:after="0" w:line="1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Signature</w:t>
      </w:r>
    </w:p>
    <w:p>
      <w:pPr>
        <w:spacing w:after="0" w:line="193" w:lineRule="auto"/>
        <w:rPr>
          <w:sz w:val="20"/>
          <w:szCs w:val="20"/>
          <w:color w:val="auto"/>
        </w:rPr>
      </w:pPr>
      <w:r>
        <w:rPr>
          <w:rFonts w:ascii="Calibri" w:cs="Calibri" w:eastAsia="Calibri" w:hAnsi="Calibri"/>
          <w:sz w:val="22"/>
          <w:szCs w:val="22"/>
          <w:color w:val="auto"/>
        </w:rPr>
        <w:t>By signing below, you acknowledge that you have carefully read this document and understand its terms. Additonally, you agree that this document contains the entre agreement between you and the Company regarding your partcipaton in a Company bonus plan for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220"/>
          </w:cols>
          <w:pgMar w:left="320" w:top="1383" w:right="359" w:bottom="1440" w:gutter="0" w:footer="0" w:header="0"/>
        </w:sectPr>
      </w:pPr>
    </w:p>
    <w:bookmarkStart w:id="106" w:name="page107"/>
    <w:bookmarkEnd w:id="106"/>
    <w:p>
      <w:pPr>
        <w:spacing w:after="0" w:line="202" w:lineRule="auto"/>
        <w:rPr>
          <w:sz w:val="20"/>
          <w:szCs w:val="20"/>
          <w:color w:val="auto"/>
        </w:rPr>
      </w:pPr>
      <w:r>
        <w:rPr>
          <w:rFonts w:ascii="Calibri" w:cs="Calibri" w:eastAsia="Calibri" w:hAnsi="Calibri"/>
          <w:sz w:val="22"/>
          <w:szCs w:val="22"/>
          <w:color w:val="auto"/>
        </w:rPr>
        <w:t>Period, and supersedes any and all other bonus plans or agreements or arrangements you have or may have had with the Company, including any such Company bonus plan covering the Company’s immediately prior fscal year. To be clear, if you do not sign and return this Plan to the Company, you shall not be eligible to contnue to receive bonus payments with regard to the Plan Period under the terms of any such prior bonus plans to which you have been subject.</w:t>
      </w:r>
    </w:p>
    <w:p>
      <w:pPr>
        <w:spacing w:after="0" w:line="203" w:lineRule="exact"/>
        <w:rPr>
          <w:sz w:val="20"/>
          <w:szCs w:val="20"/>
          <w:color w:val="auto"/>
        </w:rPr>
      </w:pPr>
    </w:p>
    <w:p>
      <w:pPr>
        <w:ind w:right="40"/>
        <w:spacing w:after="0" w:line="199" w:lineRule="auto"/>
        <w:rPr>
          <w:sz w:val="20"/>
          <w:szCs w:val="20"/>
          <w:color w:val="auto"/>
        </w:rPr>
      </w:pPr>
      <w:r>
        <w:rPr>
          <w:rFonts w:ascii="Calibri" w:cs="Calibri" w:eastAsia="Calibri" w:hAnsi="Calibri"/>
          <w:sz w:val="22"/>
          <w:szCs w:val="22"/>
          <w:color w:val="auto"/>
        </w:rPr>
        <w:t>If you are signing this document by electronic signature such as Adobe Sign: (i) you agree, and it is your intent, to sign this document and afrmaton by electronic signature such as Adobe Sign and by electronically submitng this document to the Company; (ii) you understand that your signing and submitng this record/document in this fashion is the legal equivalent of having placed your handwriten signature on the submited record/document and this afrmaton; and (iii) you understand and agree that by electronically signing and submitng this record/document in this fashion, you are afrming to the truth of the informaton contained therein.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Partcipant</w:t>
      </w:r>
      <w:r>
        <w:rPr>
          <w:rFonts w:ascii="Calibri" w:cs="Calibri" w:eastAsia="Calibri" w:hAnsi="Calibri"/>
          <w:sz w:val="22"/>
          <w:szCs w:val="22"/>
          <w:color w:val="auto"/>
        </w:rPr>
        <w:t>:</w:t>
      </w:r>
    </w:p>
    <w:p>
      <w:pPr>
        <w:spacing w:after="0" w:line="391" w:lineRule="exact"/>
        <w:rPr>
          <w:sz w:val="20"/>
          <w:szCs w:val="20"/>
          <w:color w:val="auto"/>
        </w:rPr>
      </w:pPr>
    </w:p>
    <w:p>
      <w:pPr>
        <w:spacing w:after="0"/>
        <w:rPr>
          <w:sz w:val="20"/>
          <w:szCs w:val="20"/>
          <w:color w:val="auto"/>
        </w:rPr>
      </w:pPr>
      <w:r>
        <w:rPr>
          <w:rFonts w:ascii="Calibri" w:cs="Calibri" w:eastAsia="Calibri" w:hAnsi="Calibri"/>
          <w:sz w:val="22"/>
          <w:szCs w:val="22"/>
          <w:color w:val="auto"/>
        </w:rPr>
        <w:t>By: ___________________________________________________________</w:t>
      </w:r>
    </w:p>
    <w:p>
      <w:pPr>
        <w:spacing w:after="0" w:line="165" w:lineRule="exact"/>
        <w:rPr>
          <w:sz w:val="20"/>
          <w:szCs w:val="20"/>
          <w:color w:val="auto"/>
        </w:rPr>
      </w:pPr>
    </w:p>
    <w:p>
      <w:pPr>
        <w:spacing w:after="0"/>
        <w:rPr>
          <w:sz w:val="20"/>
          <w:szCs w:val="20"/>
          <w:color w:val="auto"/>
        </w:rPr>
      </w:pPr>
      <w:r>
        <w:rPr>
          <w:rFonts w:ascii="Calibri" w:cs="Calibri" w:eastAsia="Calibri" w:hAnsi="Calibri"/>
          <w:sz w:val="22"/>
          <w:szCs w:val="22"/>
          <w:color w:val="auto"/>
        </w:rPr>
        <w:t>Name: _________________________</w:t>
      </w:r>
    </w:p>
    <w:p>
      <w:pPr>
        <w:spacing w:after="0" w:line="150" w:lineRule="exact"/>
        <w:rPr>
          <w:sz w:val="20"/>
          <w:szCs w:val="20"/>
          <w:color w:val="auto"/>
        </w:rPr>
      </w:pPr>
    </w:p>
    <w:p>
      <w:pPr>
        <w:spacing w:after="0"/>
        <w:rPr>
          <w:sz w:val="20"/>
          <w:szCs w:val="20"/>
          <w:color w:val="auto"/>
        </w:rPr>
      </w:pPr>
      <w:r>
        <w:rPr>
          <w:rFonts w:ascii="Calibri" w:cs="Calibri" w:eastAsia="Calibri" w:hAnsi="Calibri"/>
          <w:sz w:val="22"/>
          <w:szCs w:val="22"/>
          <w:color w:val="auto"/>
        </w:rPr>
        <w:t>Date: 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PubMatc</w:t>
      </w:r>
      <w:r>
        <w:rPr>
          <w:rFonts w:ascii="Calibri" w:cs="Calibri" w:eastAsia="Calibri" w:hAnsi="Calibri"/>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2"/>
          <w:szCs w:val="22"/>
          <w:color w:val="auto"/>
        </w:rPr>
        <w:t>_______________________________</w:t>
      </w:r>
    </w:p>
    <w:p>
      <w:pPr>
        <w:spacing w:after="0" w:line="194" w:lineRule="auto"/>
        <w:rPr>
          <w:sz w:val="20"/>
          <w:szCs w:val="20"/>
          <w:color w:val="auto"/>
        </w:rPr>
      </w:pPr>
      <w:r>
        <w:rPr>
          <w:rFonts w:ascii="Calibri" w:cs="Calibri" w:eastAsia="Calibri" w:hAnsi="Calibri"/>
          <w:sz w:val="22"/>
          <w:szCs w:val="22"/>
          <w:color w:val="auto"/>
        </w:rPr>
        <w:t>Rajeev Goel, Co-Founder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180"/>
          </w:cols>
          <w:pgMar w:left="320" w:top="1393" w:right="399" w:bottom="1440" w:gutter="0" w:footer="0" w:header="0"/>
        </w:sectPr>
      </w:pPr>
    </w:p>
    <w:bookmarkStart w:id="107" w:name="page108"/>
    <w:bookmarkEnd w:id="107"/>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b w:val="1"/>
          <w:bCs w:val="1"/>
          <w:color w:val="auto"/>
        </w:rPr>
        <w:t>Exhibit A-- 2024 Company Performance Metric Targets</w:t>
      </w:r>
    </w:p>
    <w:p>
      <w:pPr>
        <w:ind w:right="240"/>
        <w:spacing w:after="0" w:line="211" w:lineRule="auto"/>
        <w:rPr>
          <w:sz w:val="20"/>
          <w:szCs w:val="20"/>
          <w:color w:val="auto"/>
        </w:rPr>
      </w:pPr>
      <w:r>
        <w:rPr>
          <w:rFonts w:ascii="Cambria" w:cs="Cambria" w:eastAsia="Cambria" w:hAnsi="Cambria"/>
          <w:sz w:val="22"/>
          <w:szCs w:val="22"/>
          <w:b w:val="1"/>
          <w:bCs w:val="1"/>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820" w:type="dxa"/>
            <w:vAlign w:val="bottom"/>
            <w:tcBorders>
              <w:left w:val="single" w:sz="8" w:color="4F81BD"/>
              <w:right w:val="single" w:sz="8" w:color="4F81BD"/>
            </w:tcBorders>
            <w:shd w:val="clear" w:color="auto" w:fill="4F81BD"/>
          </w:tcPr>
          <w:p>
            <w:pPr>
              <w:ind w:left="80"/>
              <w:spacing w:after="0"/>
              <w:rPr>
                <w:sz w:val="20"/>
                <w:szCs w:val="20"/>
                <w:color w:val="auto"/>
              </w:rPr>
            </w:pPr>
            <w:r>
              <w:rPr>
                <w:rFonts w:ascii="Calibri" w:cs="Calibri" w:eastAsia="Calibri" w:hAnsi="Calibri"/>
                <w:sz w:val="22"/>
                <w:szCs w:val="22"/>
                <w:color w:val="auto"/>
              </w:rPr>
              <w:t>Metric</w:t>
            </w:r>
          </w:p>
        </w:tc>
        <w:tc>
          <w:tcPr>
            <w:tcW w:w="248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22"/>
                <w:szCs w:val="22"/>
                <w:color w:val="auto"/>
                <w:w w:val="95"/>
              </w:rPr>
              <w:t>Weight</w:t>
            </w:r>
          </w:p>
        </w:tc>
        <w:tc>
          <w:tcPr>
            <w:tcW w:w="256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22"/>
                <w:szCs w:val="22"/>
                <w:b w:val="1"/>
                <w:bCs w:val="1"/>
                <w:color w:val="auto"/>
                <w:w w:val="95"/>
              </w:rPr>
              <w:t>1H 2024 Target</w:t>
            </w:r>
          </w:p>
        </w:tc>
        <w:tc>
          <w:tcPr>
            <w:tcW w:w="340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22"/>
                <w:szCs w:val="22"/>
                <w:b w:val="1"/>
                <w:bCs w:val="1"/>
                <w:color w:val="auto"/>
                <w:w w:val="95"/>
              </w:rPr>
              <w:t>2H 2024Target</w:t>
            </w:r>
          </w:p>
        </w:tc>
      </w:tr>
      <w:tr>
        <w:trPr>
          <w:trHeight w:val="264"/>
        </w:trPr>
        <w:tc>
          <w:tcPr>
            <w:tcW w:w="2820" w:type="dxa"/>
            <w:vAlign w:val="bottom"/>
            <w:tcBorders>
              <w:left w:val="single" w:sz="8" w:color="95B3D7"/>
              <w:bottom w:val="single" w:sz="8" w:color="95B3D7"/>
              <w:right w:val="single" w:sz="8" w:color="95B3D7"/>
            </w:tcBorders>
            <w:shd w:val="clear" w:color="auto" w:fill="DBE5F1"/>
          </w:tcPr>
          <w:p>
            <w:pPr>
              <w:ind w:left="80"/>
              <w:spacing w:after="0" w:line="258" w:lineRule="exact"/>
              <w:rPr>
                <w:sz w:val="20"/>
                <w:szCs w:val="20"/>
                <w:color w:val="auto"/>
              </w:rPr>
            </w:pPr>
            <w:r>
              <w:rPr>
                <w:rFonts w:ascii="Calibri" w:cs="Calibri" w:eastAsia="Calibri" w:hAnsi="Calibri"/>
                <w:sz w:val="22"/>
                <w:szCs w:val="22"/>
                <w:color w:val="auto"/>
              </w:rPr>
              <w:t>Revenue (GAAP)</w:t>
            </w:r>
          </w:p>
        </w:tc>
        <w:tc>
          <w:tcPr>
            <w:tcW w:w="2480" w:type="dxa"/>
            <w:vAlign w:val="bottom"/>
            <w:tcBorders>
              <w:bottom w:val="single" w:sz="8" w:color="95B3D7"/>
              <w:right w:val="single" w:sz="8" w:color="95B3D7"/>
            </w:tcBorders>
            <w:shd w:val="clear" w:color="auto" w:fill="DBE5F1"/>
          </w:tcPr>
          <w:p>
            <w:pPr>
              <w:jc w:val="right"/>
              <w:ind w:right="892"/>
              <w:spacing w:after="0" w:line="258" w:lineRule="exact"/>
              <w:rPr>
                <w:sz w:val="20"/>
                <w:szCs w:val="20"/>
                <w:color w:val="auto"/>
              </w:rPr>
            </w:pPr>
            <w:r>
              <w:rPr>
                <w:rFonts w:ascii="Calibri" w:cs="Calibri" w:eastAsia="Calibri" w:hAnsi="Calibri"/>
                <w:sz w:val="22"/>
                <w:szCs w:val="22"/>
                <w:b w:val="1"/>
                <w:bCs w:val="1"/>
                <w:color w:val="auto"/>
              </w:rPr>
              <w:t>100%</w:t>
            </w:r>
          </w:p>
        </w:tc>
        <w:tc>
          <w:tcPr>
            <w:tcW w:w="2560" w:type="dxa"/>
            <w:vAlign w:val="bottom"/>
            <w:tcBorders>
              <w:bottom w:val="single" w:sz="8" w:color="95B3D7"/>
              <w:right w:val="single" w:sz="8" w:color="95B3D7"/>
            </w:tcBorders>
            <w:shd w:val="clear" w:color="auto" w:fill="DBE5F1"/>
          </w:tcPr>
          <w:p>
            <w:pPr>
              <w:jc w:val="right"/>
              <w:ind w:right="952"/>
              <w:spacing w:after="0" w:line="258" w:lineRule="exact"/>
              <w:rPr>
                <w:sz w:val="20"/>
                <w:szCs w:val="20"/>
                <w:color w:val="auto"/>
              </w:rPr>
            </w:pPr>
            <w:r>
              <w:rPr>
                <w:rFonts w:ascii="Calibri" w:cs="Calibri" w:eastAsia="Calibri" w:hAnsi="Calibri"/>
                <w:sz w:val="22"/>
                <w:szCs w:val="22"/>
                <w:b w:val="1"/>
                <w:bCs w:val="1"/>
                <w:color w:val="auto"/>
              </w:rPr>
              <w:t>[***]</w:t>
            </w:r>
          </w:p>
        </w:tc>
        <w:tc>
          <w:tcPr>
            <w:tcW w:w="3400" w:type="dxa"/>
            <w:vAlign w:val="bottom"/>
            <w:tcBorders>
              <w:bottom w:val="single" w:sz="8" w:color="95B3D7"/>
              <w:right w:val="single" w:sz="8" w:color="95B3D7"/>
            </w:tcBorders>
            <w:shd w:val="clear" w:color="auto" w:fill="DBE5F1"/>
          </w:tcPr>
          <w:p>
            <w:pPr>
              <w:jc w:val="right"/>
              <w:ind w:right="1372"/>
              <w:spacing w:after="0" w:line="258" w:lineRule="exact"/>
              <w:rPr>
                <w:sz w:val="20"/>
                <w:szCs w:val="20"/>
                <w:color w:val="auto"/>
              </w:rPr>
            </w:pPr>
            <w:r>
              <w:rPr>
                <w:rFonts w:ascii="Calibri" w:cs="Calibri" w:eastAsia="Calibri" w:hAnsi="Calibri"/>
                <w:sz w:val="22"/>
                <w:szCs w:val="22"/>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260"/>
          </w:cols>
          <w:pgMar w:left="320" w:top="1440" w:right="319" w:bottom="1440" w:gutter="0" w:footer="0" w:header="0"/>
        </w:sectPr>
      </w:pPr>
    </w:p>
    <w:bookmarkStart w:id="108" w:name="page109"/>
    <w:bookmarkEnd w:id="108"/>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b w:val="1"/>
          <w:bCs w:val="1"/>
          <w:color w:val="auto"/>
        </w:rPr>
        <w:t>Exhibit B – FY 2024 Adjusted Pre-Tax Net Income Achievement</w:t>
      </w:r>
    </w:p>
    <w:p>
      <w:pPr>
        <w:spacing w:after="0" w:line="213" w:lineRule="exact"/>
        <w:rPr>
          <w:sz w:val="20"/>
          <w:szCs w:val="20"/>
          <w:color w:val="auto"/>
        </w:rPr>
      </w:pPr>
    </w:p>
    <w:p>
      <w:pPr>
        <w:ind w:right="240"/>
        <w:spacing w:after="0" w:line="211" w:lineRule="auto"/>
        <w:rPr>
          <w:sz w:val="20"/>
          <w:szCs w:val="20"/>
          <w:color w:val="auto"/>
        </w:rPr>
      </w:pPr>
      <w:r>
        <w:rPr>
          <w:rFonts w:ascii="Cambria" w:cs="Cambria" w:eastAsia="Cambria" w:hAnsi="Cambria"/>
          <w:sz w:val="22"/>
          <w:szCs w:val="22"/>
          <w:b w:val="1"/>
          <w:bCs w:val="1"/>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620" w:type="dxa"/>
            <w:vAlign w:val="bottom"/>
            <w:tcBorders>
              <w:left w:val="single" w:sz="8" w:color="4F81BD"/>
              <w:right w:val="single" w:sz="8" w:color="4F81BD"/>
            </w:tcBorders>
            <w:shd w:val="clear" w:color="auto" w:fill="4F81BD"/>
          </w:tcPr>
          <w:p>
            <w:pPr>
              <w:ind w:left="80"/>
              <w:spacing w:after="0"/>
              <w:rPr>
                <w:sz w:val="20"/>
                <w:szCs w:val="20"/>
                <w:color w:val="auto"/>
              </w:rPr>
            </w:pPr>
            <w:r>
              <w:rPr>
                <w:rFonts w:ascii="Calibri" w:cs="Calibri" w:eastAsia="Calibri" w:hAnsi="Calibri"/>
                <w:sz w:val="22"/>
                <w:szCs w:val="22"/>
                <w:color w:val="auto"/>
              </w:rPr>
              <w:t>Metric</w:t>
            </w:r>
          </w:p>
        </w:tc>
        <w:tc>
          <w:tcPr>
            <w:tcW w:w="438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22"/>
                <w:szCs w:val="22"/>
                <w:b w:val="1"/>
                <w:bCs w:val="1"/>
                <w:color w:val="auto"/>
                <w:w w:val="96"/>
              </w:rPr>
              <w:t>1H 2024 Target</w:t>
            </w:r>
          </w:p>
        </w:tc>
        <w:tc>
          <w:tcPr>
            <w:tcW w:w="4260" w:type="dxa"/>
            <w:vAlign w:val="bottom"/>
            <w:tcBorders>
              <w:right w:val="single" w:sz="8" w:color="4F81BD"/>
            </w:tcBorders>
            <w:shd w:val="clear" w:color="auto" w:fill="4F81BD"/>
          </w:tcPr>
          <w:p>
            <w:pPr>
              <w:jc w:val="center"/>
              <w:spacing w:after="0"/>
              <w:rPr>
                <w:sz w:val="20"/>
                <w:szCs w:val="20"/>
                <w:color w:val="auto"/>
              </w:rPr>
            </w:pPr>
            <w:r>
              <w:rPr>
                <w:rFonts w:ascii="Calibri" w:cs="Calibri" w:eastAsia="Calibri" w:hAnsi="Calibri"/>
                <w:sz w:val="22"/>
                <w:szCs w:val="22"/>
                <w:b w:val="1"/>
                <w:bCs w:val="1"/>
                <w:color w:val="auto"/>
                <w:w w:val="96"/>
              </w:rPr>
              <w:t>2H 2024 Target</w:t>
            </w:r>
          </w:p>
        </w:tc>
      </w:tr>
      <w:tr>
        <w:trPr>
          <w:trHeight w:val="201"/>
        </w:trPr>
        <w:tc>
          <w:tcPr>
            <w:tcW w:w="2620" w:type="dxa"/>
            <w:vAlign w:val="bottom"/>
            <w:tcBorders>
              <w:left w:val="single" w:sz="8" w:color="95B3D7"/>
              <w:right w:val="single" w:sz="8" w:color="95B3D7"/>
            </w:tcBorders>
            <w:shd w:val="clear" w:color="auto" w:fill="DBE5F1"/>
          </w:tcPr>
          <w:p>
            <w:pPr>
              <w:ind w:left="80"/>
              <w:spacing w:after="0" w:line="201" w:lineRule="exact"/>
              <w:rPr>
                <w:sz w:val="20"/>
                <w:szCs w:val="20"/>
                <w:color w:val="auto"/>
              </w:rPr>
            </w:pPr>
            <w:r>
              <w:rPr>
                <w:rFonts w:ascii="Calibri" w:cs="Calibri" w:eastAsia="Calibri" w:hAnsi="Calibri"/>
                <w:sz w:val="21"/>
                <w:szCs w:val="21"/>
                <w:color w:val="auto"/>
              </w:rPr>
              <w:t>Adjusted Pre-Tax Net</w:t>
            </w:r>
          </w:p>
        </w:tc>
        <w:tc>
          <w:tcPr>
            <w:tcW w:w="4380" w:type="dxa"/>
            <w:vAlign w:val="bottom"/>
            <w:tcBorders>
              <w:right w:val="single" w:sz="8" w:color="95B3D7"/>
            </w:tcBorders>
            <w:shd w:val="clear" w:color="auto" w:fill="DBE5F1"/>
          </w:tcPr>
          <w:p>
            <w:pPr>
              <w:jc w:val="right"/>
              <w:ind w:right="1875"/>
              <w:spacing w:after="0" w:line="201" w:lineRule="exact"/>
              <w:rPr>
                <w:sz w:val="20"/>
                <w:szCs w:val="20"/>
                <w:color w:val="auto"/>
              </w:rPr>
            </w:pPr>
            <w:r>
              <w:rPr>
                <w:rFonts w:ascii="Calibri" w:cs="Calibri" w:eastAsia="Calibri" w:hAnsi="Calibri"/>
                <w:sz w:val="21"/>
                <w:szCs w:val="21"/>
                <w:b w:val="1"/>
                <w:bCs w:val="1"/>
                <w:color w:val="auto"/>
              </w:rPr>
              <w:t>[***]</w:t>
            </w:r>
          </w:p>
        </w:tc>
        <w:tc>
          <w:tcPr>
            <w:tcW w:w="4260" w:type="dxa"/>
            <w:vAlign w:val="bottom"/>
            <w:tcBorders>
              <w:right w:val="single" w:sz="8" w:color="95B3D7"/>
            </w:tcBorders>
            <w:shd w:val="clear" w:color="auto" w:fill="DBE5F1"/>
          </w:tcPr>
          <w:p>
            <w:pPr>
              <w:jc w:val="right"/>
              <w:ind w:right="1815"/>
              <w:spacing w:after="0" w:line="201" w:lineRule="exact"/>
              <w:rPr>
                <w:sz w:val="20"/>
                <w:szCs w:val="20"/>
                <w:color w:val="auto"/>
              </w:rPr>
            </w:pPr>
            <w:r>
              <w:rPr>
                <w:rFonts w:ascii="Calibri" w:cs="Calibri" w:eastAsia="Calibri" w:hAnsi="Calibri"/>
                <w:sz w:val="21"/>
                <w:szCs w:val="21"/>
                <w:b w:val="1"/>
                <w:bCs w:val="1"/>
                <w:color w:val="auto"/>
              </w:rPr>
              <w:t>[***]</w:t>
            </w:r>
          </w:p>
        </w:tc>
      </w:tr>
      <w:tr>
        <w:trPr>
          <w:trHeight w:val="265"/>
        </w:trPr>
        <w:tc>
          <w:tcPr>
            <w:tcW w:w="2620" w:type="dxa"/>
            <w:vAlign w:val="bottom"/>
            <w:tcBorders>
              <w:left w:val="single" w:sz="8" w:color="95B3D7"/>
              <w:bottom w:val="single" w:sz="8" w:color="DBE5F1"/>
              <w:right w:val="single" w:sz="8" w:color="95B3D7"/>
            </w:tcBorders>
            <w:shd w:val="clear" w:color="auto" w:fill="DBE5F1"/>
          </w:tcPr>
          <w:p>
            <w:pPr>
              <w:ind w:left="80"/>
              <w:spacing w:after="0" w:line="258" w:lineRule="exact"/>
              <w:rPr>
                <w:sz w:val="20"/>
                <w:szCs w:val="20"/>
                <w:color w:val="auto"/>
              </w:rPr>
            </w:pPr>
            <w:r>
              <w:rPr>
                <w:rFonts w:ascii="Calibri" w:cs="Calibri" w:eastAsia="Calibri" w:hAnsi="Calibri"/>
                <w:sz w:val="22"/>
                <w:szCs w:val="22"/>
                <w:color w:val="auto"/>
              </w:rPr>
              <w:t>Income</w:t>
            </w:r>
          </w:p>
        </w:tc>
        <w:tc>
          <w:tcPr>
            <w:tcW w:w="4380" w:type="dxa"/>
            <w:vAlign w:val="bottom"/>
            <w:tcBorders>
              <w:bottom w:val="single" w:sz="8" w:color="DBE5F1"/>
              <w:right w:val="single" w:sz="8" w:color="95B3D7"/>
            </w:tcBorders>
            <w:shd w:val="clear" w:color="auto" w:fill="DBE5F1"/>
          </w:tcPr>
          <w:p>
            <w:pPr>
              <w:spacing w:after="0"/>
              <w:rPr>
                <w:sz w:val="23"/>
                <w:szCs w:val="23"/>
                <w:color w:val="auto"/>
              </w:rPr>
            </w:pPr>
          </w:p>
        </w:tc>
        <w:tc>
          <w:tcPr>
            <w:tcW w:w="4260" w:type="dxa"/>
            <w:vAlign w:val="bottom"/>
            <w:tcBorders>
              <w:bottom w:val="single" w:sz="8" w:color="DBE5F1"/>
              <w:right w:val="single" w:sz="8" w:color="95B3D7"/>
            </w:tcBorders>
            <w:shd w:val="clear" w:color="auto" w:fill="DBE5F1"/>
          </w:tcPr>
          <w:p>
            <w:pPr>
              <w:spacing w:after="0"/>
              <w:rPr>
                <w:sz w:val="23"/>
                <w:szCs w:val="23"/>
                <w:color w:val="auto"/>
              </w:rPr>
            </w:pPr>
          </w:p>
        </w:tc>
      </w:tr>
      <w:tr>
        <w:trPr>
          <w:trHeight w:val="20"/>
        </w:trPr>
        <w:tc>
          <w:tcPr>
            <w:tcW w:w="2620" w:type="dxa"/>
            <w:vAlign w:val="bottom"/>
            <w:tcBorders>
              <w:left w:val="single" w:sz="8" w:color="95B3D7"/>
              <w:right w:val="single" w:sz="8" w:color="95B3D7"/>
            </w:tcBorders>
            <w:shd w:val="clear" w:color="auto" w:fill="95B3D7"/>
          </w:tcPr>
          <w:p>
            <w:pPr>
              <w:spacing w:after="0" w:line="20" w:lineRule="exact"/>
              <w:rPr>
                <w:sz w:val="1"/>
                <w:szCs w:val="1"/>
                <w:color w:val="auto"/>
              </w:rPr>
            </w:pPr>
          </w:p>
        </w:tc>
        <w:tc>
          <w:tcPr>
            <w:tcW w:w="4380" w:type="dxa"/>
            <w:vAlign w:val="bottom"/>
            <w:tcBorders>
              <w:right w:val="single" w:sz="8" w:color="95B3D7"/>
            </w:tcBorders>
            <w:shd w:val="clear" w:color="auto" w:fill="95B3D7"/>
          </w:tcPr>
          <w:p>
            <w:pPr>
              <w:spacing w:after="0" w:line="20" w:lineRule="exact"/>
              <w:rPr>
                <w:sz w:val="1"/>
                <w:szCs w:val="1"/>
                <w:color w:val="auto"/>
              </w:rPr>
            </w:pPr>
          </w:p>
        </w:tc>
        <w:tc>
          <w:tcPr>
            <w:tcW w:w="4260" w:type="dxa"/>
            <w:vAlign w:val="bottom"/>
            <w:tcBorders>
              <w:right w:val="single" w:sz="8" w:color="95B3D7"/>
            </w:tcBorders>
            <w:shd w:val="clear" w:color="auto" w:fill="95B3D7"/>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alibri" w:cs="Calibri" w:eastAsia="Calibri" w:hAnsi="Calibri"/>
          <w:sz w:val="22"/>
          <w:szCs w:val="22"/>
          <w:color w:val="BFBFBF"/>
        </w:rPr>
        <w:t>PubMatc 2024 Executve Bonus Plan</w:t>
      </w:r>
    </w:p>
    <w:p>
      <w:pPr>
        <w:sectPr>
          <w:pgSz w:w="11900" w:h="16838" w:orient="portrait"/>
          <w:cols w:equalWidth="0" w:num="1">
            <w:col w:w="11260"/>
          </w:cols>
          <w:pgMar w:left="320" w:top="1440"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SUBSIDIARIES OF PUBMATIC, INC.</w:t>
            </w:r>
          </w:p>
        </w:tc>
      </w:tr>
      <w:tr>
        <w:trPr>
          <w:trHeight w:val="47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Jurisdiction:</w:t>
            </w:r>
          </w:p>
        </w:tc>
      </w:tr>
      <w:tr>
        <w:trPr>
          <w:trHeight w:val="20"/>
        </w:trPr>
        <w:tc>
          <w:tcPr>
            <w:tcW w:w="4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PubMatic India Private Limited</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8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PubMatic GmbH</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8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PubMatic Limited</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8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PubMatic Software (Shanghai) Limited</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8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PubMatic KK</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8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PubMatic Pte Ltd</w:t>
            </w:r>
          </w:p>
        </w:tc>
        <w:tc>
          <w:tcPr>
            <w:tcW w:w="30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r>
    </w:tbl>
    <w:p>
      <w:pPr>
        <w:sectPr>
          <w:pgSz w:w="11900" w:h="16838" w:orient="portrait"/>
          <w:cols w:equalWidth="0" w:num="1">
            <w:col w:w="11220"/>
          </w:cols>
          <w:pgMar w:left="340" w:top="141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333-270102, 333-263129, 333-251237 and 333-254752 on Form S-8 of our report dated February 28, 2024, relating to the financial statements of PubMatic, Inc. and the effectiveness of PubMatic Inc.’s internal control over financial reporting, appearing in this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141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PURSUANT TO EXCHANGE ACT RULES 13a-14(a) AND 15d-14(a)</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Rajeev K. Goel, certify that:</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PubMatic,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1" w:lineRule="auto"/>
        <w:tabs>
          <w:tab w:leader="none" w:pos="12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28,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8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PURSUANT TO EXCHANGE ACT RULES 13a-14(a) AND 15d-14(a)</w:t>
      </w:r>
    </w:p>
    <w:p>
      <w:pPr>
        <w:spacing w:after="0" w:line="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Pantelick, certify that:</w:t>
      </w:r>
    </w:p>
    <w:p>
      <w:pPr>
        <w:spacing w:after="0" w:line="25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PubMatic,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81"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28,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08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PURSUANT TO PURSUANT TO 18 U.S.C. SECTION 1350,</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Rajeev K. Goel, Chief Executive Officer of PubMatic, Inc. (the “Company”), do hereby certify, pursuant to 18 U.S.C. Section 1350, as adopted pursuant to Section 906 of the Sarbanes-Oxley Act of 2002, that to my knowledge:</w:t>
      </w:r>
    </w:p>
    <w:p>
      <w:pPr>
        <w:spacing w:after="0" w:line="189" w:lineRule="exact"/>
        <w:rPr>
          <w:sz w:val="20"/>
          <w:szCs w:val="20"/>
          <w:color w:val="auto"/>
        </w:rPr>
      </w:pPr>
    </w:p>
    <w:p>
      <w:pPr>
        <w:ind w:left="660" w:hanging="328"/>
        <w:spacing w:after="0" w:line="282"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28,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08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PURSUANT TO PURSUANT TO 18 U.S.C. SECTION 1350,</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Steven Pantelick, Chief Financial Officer of PubMatic, Inc. (the “Company”), do hereby certify, pursuant to 18 U.S.C. Section 1350, as adopted pursuant to Section 906 of the Sarbanes-Oxley Act of 2002, that to my knowledge:</w:t>
      </w:r>
    </w:p>
    <w:p>
      <w:pPr>
        <w:spacing w:after="0" w:line="189" w:lineRule="exact"/>
        <w:rPr>
          <w:sz w:val="20"/>
          <w:szCs w:val="20"/>
          <w:color w:val="auto"/>
        </w:rPr>
      </w:pPr>
    </w:p>
    <w:p>
      <w:pPr>
        <w:ind w:left="660" w:hanging="328"/>
        <w:spacing w:after="0" w:line="282"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February 28,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Steven Pantelick</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Pantelick</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08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1E1E1E"/>
        </w:rPr>
        <w:t>Exhibit 97.1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PubMatic,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November 3, 2023)</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1E1E1E"/>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14.</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1E1E1E"/>
        </w:rPr>
        <w:t xml:space="preserve">This Policy </w:t>
      </w:r>
      <w:r>
        <w:rPr>
          <w:rFonts w:ascii="Times New Roman" w:cs="Times New Roman" w:eastAsia="Times New Roman" w:hAnsi="Times New Roman"/>
          <w:sz w:val="22"/>
          <w:szCs w:val="22"/>
          <w:color w:val="171717"/>
        </w:rPr>
        <w:t>is designed to comply with Rule 10D-1 of the Exchange Act and</w:t>
      </w:r>
      <w:r>
        <w:rPr>
          <w:rFonts w:ascii="Times New Roman" w:cs="Times New Roman" w:eastAsia="Times New Roman" w:hAnsi="Times New Roman"/>
          <w:sz w:val="22"/>
          <w:szCs w:val="22"/>
          <w:color w:val="1E1E1E"/>
        </w:rPr>
        <w:t xml:space="preserve"> shall become effective on the Effective Date and shall apply to </w:t>
      </w:r>
      <w:r>
        <w:rPr>
          <w:rFonts w:ascii="Times New Roman" w:cs="Times New Roman" w:eastAsia="Times New Roman" w:hAnsi="Times New Roman"/>
          <w:sz w:val="22"/>
          <w:szCs w:val="22"/>
          <w:color w:val="171717"/>
        </w:rPr>
        <w:t>Incentive-Based Compensation Received by Covered Persons on or after the Listing Rule Effective Date</w:t>
      </w:r>
      <w:r>
        <w:rPr>
          <w:rFonts w:ascii="Times New Roman" w:cs="Times New Roman" w:eastAsia="Times New Roman" w:hAnsi="Times New Roman"/>
          <w:sz w:val="22"/>
          <w:szCs w:val="22"/>
          <w:color w:val="1E1E1E"/>
        </w:rPr>
        <w:t>.</w:t>
      </w:r>
    </w:p>
    <w:p>
      <w:pPr>
        <w:spacing w:after="0" w:line="16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Administration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1E1E1E"/>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 of administering this Policy.</w:t>
      </w:r>
    </w:p>
    <w:p>
      <w:pPr>
        <w:spacing w:after="0" w:line="189"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Covered Persons and Applicable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E1E1E"/>
        </w:rPr>
        <w:t>This Policy applies to any Incentive-Based Compensation Received by a person (a) after beginning service as a Covered Person;</w:t>
      </w:r>
    </w:p>
    <w:p>
      <w:pPr>
        <w:spacing w:after="0" w:line="39" w:lineRule="exact"/>
        <w:rPr>
          <w:sz w:val="20"/>
          <w:szCs w:val="20"/>
          <w:color w:val="auto"/>
        </w:rPr>
      </w:pPr>
    </w:p>
    <w:p>
      <w:pPr>
        <w:ind w:firstLine="8"/>
        <w:spacing w:after="0" w:line="248" w:lineRule="auto"/>
        <w:tabs>
          <w:tab w:leader="none" w:pos="319" w:val="left"/>
        </w:tabs>
        <w:numPr>
          <w:ilvl w:val="0"/>
          <w:numId w:val="40"/>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who served as a Covered Person at any time during the performance period for that Incentive-Based Compensation; and (c) was a Covered Person during the Clawback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However, recovery is not required with respect to:</w:t>
      </w:r>
    </w:p>
    <w:p>
      <w:pPr>
        <w:spacing w:after="0" w:line="193" w:lineRule="exact"/>
        <w:rPr>
          <w:sz w:val="20"/>
          <w:szCs w:val="20"/>
          <w:color w:val="auto"/>
        </w:rPr>
      </w:pPr>
    </w:p>
    <w:p>
      <w:pPr>
        <w:ind w:left="660" w:hanging="328"/>
        <w:spacing w:after="0" w:line="271" w:lineRule="auto"/>
        <w:tabs>
          <w:tab w:leader="none" w:pos="652"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w:t>
      </w:r>
      <w:r>
        <w:rPr>
          <w:rFonts w:ascii="Times New Roman" w:cs="Times New Roman" w:eastAsia="Times New Roman" w:hAnsi="Times New Roman"/>
          <w:sz w:val="22"/>
          <w:szCs w:val="22"/>
          <w:color w:val="1E1E1E"/>
        </w:rPr>
        <w:t>-Based Compensation Received prior to an individual becoming a Covered Person, even if the individual served</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color w:val="1E1E1E"/>
        </w:rPr>
        <w:t>as a Covered Person during the Clawback Period.</w:t>
      </w:r>
    </w:p>
    <w:p>
      <w:pPr>
        <w:spacing w:after="0" w:line="184" w:lineRule="exact"/>
        <w:rPr>
          <w:rFonts w:ascii="Times New Roman" w:cs="Times New Roman" w:eastAsia="Times New Roman" w:hAnsi="Times New Roman"/>
          <w:sz w:val="22"/>
          <w:szCs w:val="22"/>
          <w:color w:val="1E1E1E"/>
        </w:rPr>
      </w:pPr>
    </w:p>
    <w:p>
      <w:pPr>
        <w:ind w:left="660" w:hanging="328"/>
        <w:spacing w:after="0"/>
        <w:tabs>
          <w:tab w:leader="none" w:pos="66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Incentive-Based Compensation Received prior to the Listing Rule Effective Date.</w:t>
      </w:r>
    </w:p>
    <w:p>
      <w:pPr>
        <w:spacing w:after="0" w:line="246" w:lineRule="exact"/>
        <w:rPr>
          <w:rFonts w:ascii="Times New Roman" w:cs="Times New Roman" w:eastAsia="Times New Roman" w:hAnsi="Times New Roman"/>
          <w:sz w:val="22"/>
          <w:szCs w:val="22"/>
          <w:color w:val="1E1E1E"/>
        </w:rPr>
      </w:pPr>
    </w:p>
    <w:p>
      <w:pPr>
        <w:ind w:left="640" w:hanging="308"/>
        <w:spacing w:after="0"/>
        <w:tabs>
          <w:tab w:leader="none" w:pos="640"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w:t>
      </w:r>
      <w:r>
        <w:rPr>
          <w:rFonts w:ascii="Times New Roman" w:cs="Times New Roman" w:eastAsia="Times New Roman" w:hAnsi="Times New Roman"/>
          <w:sz w:val="22"/>
          <w:szCs w:val="22"/>
          <w:color w:val="1E1E1E"/>
        </w:rPr>
        <w:t>-Based Compensation Received prior to the Clawback Period.</w:t>
      </w:r>
    </w:p>
    <w:p>
      <w:pPr>
        <w:spacing w:after="0" w:line="260" w:lineRule="exact"/>
        <w:rPr>
          <w:rFonts w:ascii="Times New Roman" w:cs="Times New Roman" w:eastAsia="Times New Roman" w:hAnsi="Times New Roman"/>
          <w:sz w:val="22"/>
          <w:szCs w:val="22"/>
          <w:color w:val="1E1E1E"/>
        </w:rPr>
      </w:pPr>
    </w:p>
    <w:p>
      <w:pPr>
        <w:ind w:left="660" w:hanging="328"/>
        <w:spacing w:after="0" w:line="271" w:lineRule="auto"/>
        <w:tabs>
          <w:tab w:leader="none" w:pos="638" w:val="left"/>
        </w:tabs>
        <w:numPr>
          <w:ilvl w:val="0"/>
          <w:numId w:val="41"/>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71717"/>
        </w:rPr>
        <w:t>Incentive-Based Compensation Received while the Company did not have a class of listed securities on a national securities exchange or a national securities association, including the Exchange.</w:t>
      </w:r>
    </w:p>
    <w:p>
      <w:pPr>
        <w:sectPr>
          <w:pgSz w:w="11900" w:h="16838" w:orient="portrait"/>
          <w:cols w:equalWidth="0" w:num="1">
            <w:col w:w="11240"/>
          </w:cols>
          <w:pgMar w:left="320" w:top="1400" w:right="339" w:bottom="1440" w:gutter="0" w:footer="0" w:header="0"/>
        </w:sectPr>
      </w:pPr>
    </w:p>
    <w:bookmarkStart w:id="116" w:name="page117"/>
    <w:bookmarkEnd w:id="116"/>
    <w:p>
      <w:pPr>
        <w:spacing w:after="0" w:line="271" w:lineRule="auto"/>
        <w:rPr>
          <w:sz w:val="20"/>
          <w:szCs w:val="20"/>
          <w:color w:val="auto"/>
        </w:rPr>
      </w:pPr>
      <w:r>
        <w:rPr>
          <w:rFonts w:ascii="Times New Roman" w:cs="Times New Roman" w:eastAsia="Times New Roman" w:hAnsi="Times New Roman"/>
          <w:sz w:val="22"/>
          <w:szCs w:val="22"/>
          <w:color w:val="171717"/>
        </w:rPr>
        <w:t>The Administrator will not consider the Covered Person’s responsibility or fault or lack thereof in enforcing this Policy with respect to recoupment under the Final Rules.</w:t>
      </w:r>
    </w:p>
    <w:p>
      <w:pPr>
        <w:spacing w:after="0" w:line="12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1E1E1E"/>
        </w:rPr>
        <w:t>Triggering Event</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1E1E1E"/>
        </w:rPr>
        <w:t xml:space="preserve">Subject to and in accordance with the provisions of this Policy, if there is a Triggering Event, the Administrator shall require a Covered Person to reimburse or forfeit to the Company the Recoupment Amount applicable to such Covered Person. </w:t>
      </w:r>
      <w:r>
        <w:rPr>
          <w:rFonts w:ascii="Times New Roman" w:cs="Times New Roman" w:eastAsia="Times New Roman" w:hAnsi="Times New Roman"/>
          <w:sz w:val="22"/>
          <w:szCs w:val="22"/>
          <w:color w:val="171717"/>
        </w:rPr>
        <w:t>A</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171717"/>
        </w:rPr>
        <w:t>Company’s obligation to recover the Recoupment Amount is not dependent on if or when the restated financial statements are filed.</w:t>
      </w:r>
    </w:p>
    <w:p>
      <w:pPr>
        <w:spacing w:after="0" w:line="175"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Calculation of Recoupment Amount</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171717"/>
        </w:rPr>
        <w:t xml:space="preserve">The Recoupment Amount will be calculated in accordance with the Final Rules, as provided in the Calculation Guidelines attached hereto as </w:t>
      </w:r>
      <w:r>
        <w:rPr>
          <w:rFonts w:ascii="Times New Roman" w:cs="Times New Roman" w:eastAsia="Times New Roman" w:hAnsi="Times New Roman"/>
          <w:sz w:val="22"/>
          <w:szCs w:val="22"/>
          <w:u w:val="single" w:color="auto"/>
          <w:color w:val="171717"/>
        </w:rPr>
        <w:t>Exhibit B</w:t>
      </w:r>
      <w:r>
        <w:rPr>
          <w:rFonts w:ascii="Times New Roman" w:cs="Times New Roman" w:eastAsia="Times New Roman" w:hAnsi="Times New Roman"/>
          <w:sz w:val="22"/>
          <w:szCs w:val="22"/>
          <w:color w:val="171717"/>
        </w:rPr>
        <w:t>.</w:t>
      </w:r>
    </w:p>
    <w:p>
      <w:pPr>
        <w:spacing w:after="0" w:line="154"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Method of Recoupment</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171717"/>
        </w:rPr>
        <w:t>Subject to compliance with the Final Rules and applicable law, the Administrator will determine, in its sole discretion, the method for recouping the Recoupment Amount hereunder which may include, without limitation:</w:t>
      </w:r>
    </w:p>
    <w:p>
      <w:pPr>
        <w:spacing w:after="0" w:line="171"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Requiring reimbursement or forfeiture of the pre-tax amount cash Incentive-Based Compensation previously paid;</w:t>
      </w:r>
    </w:p>
    <w:p>
      <w:pPr>
        <w:spacing w:after="0" w:line="246" w:lineRule="exact"/>
        <w:rPr>
          <w:rFonts w:ascii="Times New Roman" w:cs="Times New Roman" w:eastAsia="Times New Roman" w:hAnsi="Times New Roman"/>
          <w:sz w:val="22"/>
          <w:szCs w:val="22"/>
          <w:color w:val="171717"/>
        </w:rPr>
      </w:pPr>
    </w:p>
    <w:p>
      <w:pPr>
        <w:jc w:val="both"/>
        <w:ind w:left="660" w:hanging="328"/>
        <w:spacing w:after="0" w:line="257" w:lineRule="auto"/>
        <w:tabs>
          <w:tab w:leader="none" w:pos="659" w:val="left"/>
        </w:tabs>
        <w:numPr>
          <w:ilvl w:val="0"/>
          <w:numId w:val="45"/>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Offsetting the Recoupment Amount from any compensation otherwise owed by the Company to the Covered Person, including without limitation, any prior cash incentive payments, executive retirement benefits, wages, equity grants or other amounts payable by the Company to Covered Person in the future;</w:t>
      </w:r>
    </w:p>
    <w:p>
      <w:pPr>
        <w:spacing w:after="0" w:line="199" w:lineRule="exact"/>
        <w:rPr>
          <w:rFonts w:ascii="Times New Roman" w:cs="Times New Roman" w:eastAsia="Times New Roman" w:hAnsi="Times New Roman"/>
          <w:sz w:val="22"/>
          <w:szCs w:val="22"/>
          <w:color w:val="171717"/>
        </w:rPr>
      </w:pPr>
    </w:p>
    <w:p>
      <w:pPr>
        <w:ind w:left="660" w:hanging="328"/>
        <w:spacing w:after="0" w:line="271" w:lineRule="auto"/>
        <w:tabs>
          <w:tab w:leader="none" w:pos="651" w:val="left"/>
        </w:tabs>
        <w:numPr>
          <w:ilvl w:val="0"/>
          <w:numId w:val="45"/>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Seeking recovery of any gain realized on the vesting, exercise, settlement, cash sale, transfer, or other disposition of any equity-based awards; and/or</w:t>
      </w:r>
    </w:p>
    <w:p>
      <w:pPr>
        <w:spacing w:after="0" w:line="198" w:lineRule="exact"/>
        <w:rPr>
          <w:rFonts w:ascii="Times New Roman" w:cs="Times New Roman" w:eastAsia="Times New Roman" w:hAnsi="Times New Roman"/>
          <w:sz w:val="22"/>
          <w:szCs w:val="22"/>
          <w:color w:val="171717"/>
        </w:rPr>
      </w:pPr>
    </w:p>
    <w:p>
      <w:pPr>
        <w:ind w:left="640" w:hanging="308"/>
        <w:spacing w:after="0"/>
        <w:tabs>
          <w:tab w:leader="none" w:pos="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71717"/>
        </w:rPr>
        <w:t>Taking any other remedial and recovery action permitted by law, as determined by the Administrator.</w:t>
      </w:r>
    </w:p>
    <w:p>
      <w:pPr>
        <w:spacing w:after="0" w:line="243"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Arbitration</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1E1E1E"/>
        </w:rPr>
        <w:t>To the fullest extent permitted by law, any disputes under this Policy shall be submitted to mandatory binding arbitration (the “</w:t>
      </w:r>
      <w:r>
        <w:rPr>
          <w:rFonts w:ascii="Times New Roman" w:cs="Times New Roman" w:eastAsia="Times New Roman" w:hAnsi="Times New Roman"/>
          <w:sz w:val="22"/>
          <w:szCs w:val="22"/>
          <w:b w:val="1"/>
          <w:bCs w:val="1"/>
          <w:i w:val="1"/>
          <w:iCs w:val="1"/>
          <w:color w:val="1E1E1E"/>
        </w:rPr>
        <w:t>Arbitrable Claims</w:t>
      </w:r>
      <w:r>
        <w:rPr>
          <w:rFonts w:ascii="Times New Roman" w:cs="Times New Roman" w:eastAsia="Times New Roman" w:hAnsi="Times New Roman"/>
          <w:sz w:val="22"/>
          <w:szCs w:val="22"/>
          <w:color w:val="1E1E1E"/>
        </w:rPr>
        <w:t>”), governed by the Federal Arbitration Act (the “</w:t>
      </w:r>
      <w:r>
        <w:rPr>
          <w:rFonts w:ascii="Times New Roman" w:cs="Times New Roman" w:eastAsia="Times New Roman" w:hAnsi="Times New Roman"/>
          <w:sz w:val="22"/>
          <w:szCs w:val="22"/>
          <w:b w:val="1"/>
          <w:bCs w:val="1"/>
          <w:i w:val="1"/>
          <w:iCs w:val="1"/>
          <w:color w:val="1E1E1E"/>
        </w:rPr>
        <w:t>FAA</w:t>
      </w:r>
      <w:r>
        <w:rPr>
          <w:rFonts w:ascii="Times New Roman" w:cs="Times New Roman" w:eastAsia="Times New Roman" w:hAnsi="Times New Roman"/>
          <w:sz w:val="22"/>
          <w:szCs w:val="22"/>
          <w:color w:val="1E1E1E"/>
        </w:rPr>
        <w:t>”). Further, to the fullest extent permitted by law, no class or collective actions can be asserted in arbitration or otherwise. All claims, whether in arbitration or otherwise, must be brought solely in Covered Person’s individual capacity, and not as a plaintiff or class member in any purported class or collective proceeding.</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1E1E1E"/>
        </w:rPr>
        <w:t>SUBJECT TO THE ABOVE PROVISO, ANY RIGHTS THAT COVERED PERSON MAY HAVE TO TRIAL BY JURY IN REGARD TO ARBITRABLE CLAIMS ARE WAIVED.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17" w:name="page118"/>
    <w:bookmarkEnd w:id="117"/>
    <w:p>
      <w:pPr>
        <w:jc w:val="both"/>
        <w:ind w:right="20"/>
        <w:spacing w:after="0" w:line="271" w:lineRule="auto"/>
        <w:rPr>
          <w:sz w:val="20"/>
          <w:szCs w:val="20"/>
          <w:color w:val="auto"/>
        </w:rPr>
      </w:pPr>
      <w:r>
        <w:rPr>
          <w:rFonts w:ascii="Times New Roman" w:cs="Times New Roman" w:eastAsia="Times New Roman" w:hAnsi="Times New Roman"/>
          <w:sz w:val="22"/>
          <w:szCs w:val="22"/>
          <w:color w:val="1E1E1E"/>
        </w:rPr>
        <w:t>RIGHTS THAT COVERED PERSON MAY HAVE TO PURSUE OR PARTICIPATE IN A CLASS OR COLLECTIVE ACTION PERTAINING TO ANY CLAIMS BETWEEN COVERED PERSON AND THE COMPANY ARE WAIVED.</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1E1E1E"/>
        </w:rPr>
        <w:t xml:space="preserve">Covered Person is not restricted from filing administrative claims that may be brought before any government agency where, as a matter of law, Covered Person’s ability to file such claims may not be restricted. However, to the fullest extent permitted by law, arbitration shall be the exclusive remedy for the subject matter of such administrative claims. The arbitration shall be conducted in Redwood City, California through JAMS before a single neutral arbitrator, in accordance with the JAMS </w:t>
      </w:r>
      <w:r>
        <w:rPr>
          <w:rFonts w:ascii="Times New Roman" w:cs="Times New Roman" w:eastAsia="Times New Roman" w:hAnsi="Times New Roman"/>
          <w:sz w:val="22"/>
          <w:szCs w:val="22"/>
          <w:color w:val="000000"/>
        </w:rPr>
        <w:t>Comprehensive</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000000"/>
        </w:rPr>
        <w:t xml:space="preserve">Arbitration Rules and Procedures </w:t>
      </w:r>
      <w:r>
        <w:rPr>
          <w:rFonts w:ascii="Times New Roman" w:cs="Times New Roman" w:eastAsia="Times New Roman" w:hAnsi="Times New Roman"/>
          <w:sz w:val="22"/>
          <w:szCs w:val="22"/>
          <w:color w:val="1E1E1E"/>
        </w:rPr>
        <w:t>then in effect, provided however, that the FAA, including its procedural provisions for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E1E1E"/>
        </w:rPr>
        <w:t>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spacing w:after="0" w:line="17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1E1E1E"/>
        </w:rPr>
      </w:pPr>
      <w:r>
        <w:rPr>
          <w:rFonts w:ascii="Times New Roman" w:cs="Times New Roman" w:eastAsia="Times New Roman" w:hAnsi="Times New Roman"/>
          <w:sz w:val="22"/>
          <w:szCs w:val="22"/>
          <w:b w:val="1"/>
          <w:bCs w:val="1"/>
          <w:color w:val="1E1E1E"/>
        </w:rPr>
        <w:t>Recovery Process; Impracticability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Actions by the Administrator to recover the Recoupment Amount will be reasonably prompt.</w:t>
      </w:r>
    </w:p>
    <w:p>
      <w:pPr>
        <w:spacing w:after="0" w:line="2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1E1E1E"/>
        </w:rPr>
        <w:t>The Administrator must cause the Company to recover the Recoupment Amount unless the Administrator shall have previously determined that recovery is impracticable and one of the following conditions is met:</w:t>
      </w:r>
    </w:p>
    <w:p>
      <w:pPr>
        <w:spacing w:after="0" w:line="144" w:lineRule="exact"/>
        <w:rPr>
          <w:sz w:val="20"/>
          <w:szCs w:val="20"/>
          <w:color w:val="auto"/>
        </w:rPr>
      </w:pPr>
    </w:p>
    <w:p>
      <w:pPr>
        <w:jc w:val="both"/>
        <w:ind w:left="980" w:hanging="648"/>
        <w:spacing w:after="0" w:line="268" w:lineRule="auto"/>
        <w:tabs>
          <w:tab w:leader="none" w:pos="972" w:val="left"/>
        </w:tabs>
        <w:numPr>
          <w:ilvl w:val="0"/>
          <w:numId w:val="48"/>
        </w:numPr>
        <w:rPr>
          <w:rFonts w:ascii="Times New Roman" w:cs="Times New Roman" w:eastAsia="Times New Roman" w:hAnsi="Times New Roman"/>
          <w:sz w:val="21"/>
          <w:szCs w:val="21"/>
          <w:color w:val="1E1E1E"/>
        </w:rPr>
      </w:pPr>
      <w:r>
        <w:rPr>
          <w:rFonts w:ascii="Times New Roman" w:cs="Times New Roman" w:eastAsia="Times New Roman" w:hAnsi="Times New Roman"/>
          <w:sz w:val="21"/>
          <w:szCs w:val="21"/>
          <w:color w:val="1E1E1E"/>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w:t>
      </w:r>
    </w:p>
    <w:p>
      <w:pPr>
        <w:spacing w:after="0" w:line="203" w:lineRule="exact"/>
        <w:rPr>
          <w:rFonts w:ascii="Times New Roman" w:cs="Times New Roman" w:eastAsia="Times New Roman" w:hAnsi="Times New Roman"/>
          <w:sz w:val="21"/>
          <w:szCs w:val="21"/>
          <w:color w:val="1E1E1E"/>
        </w:rPr>
      </w:pPr>
    </w:p>
    <w:p>
      <w:pPr>
        <w:jc w:val="both"/>
        <w:ind w:left="980" w:hanging="648"/>
        <w:spacing w:after="0" w:line="252" w:lineRule="auto"/>
        <w:tabs>
          <w:tab w:leader="none" w:pos="979" w:val="left"/>
        </w:tabs>
        <w:numPr>
          <w:ilvl w:val="0"/>
          <w:numId w:val="4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Whether 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Exchange, that recovery would result in such a violation, and must provide such opinion to the Exchange; or</w:t>
      </w:r>
    </w:p>
    <w:p>
      <w:pPr>
        <w:spacing w:after="0" w:line="206" w:lineRule="exact"/>
        <w:rPr>
          <w:rFonts w:ascii="Times New Roman" w:cs="Times New Roman" w:eastAsia="Times New Roman" w:hAnsi="Times New Roman"/>
          <w:sz w:val="22"/>
          <w:szCs w:val="22"/>
          <w:color w:val="1E1E1E"/>
        </w:rPr>
      </w:pPr>
    </w:p>
    <w:p>
      <w:pPr>
        <w:jc w:val="both"/>
        <w:ind w:left="980" w:hanging="648"/>
        <w:spacing w:after="0" w:line="263" w:lineRule="auto"/>
        <w:tabs>
          <w:tab w:leader="none" w:pos="971" w:val="left"/>
        </w:tabs>
        <w:numPr>
          <w:ilvl w:val="0"/>
          <w:numId w:val="48"/>
        </w:numPr>
        <w:rPr>
          <w:rFonts w:ascii="Times New Roman" w:cs="Times New Roman" w:eastAsia="Times New Roman" w:hAnsi="Times New Roman"/>
          <w:sz w:val="22"/>
          <w:szCs w:val="22"/>
          <w:color w:val="1E1E1E"/>
        </w:rPr>
      </w:pPr>
      <w:r>
        <w:rPr>
          <w:rFonts w:ascii="Times New Roman" w:cs="Times New Roman" w:eastAsia="Times New Roman" w:hAnsi="Times New Roman"/>
          <w:sz w:val="22"/>
          <w:szCs w:val="22"/>
          <w:color w:val="1E1E1E"/>
        </w:rPr>
        <w:t>Whether recovery would likely cause an otherwise tax-qualified retirement plan, under which benefits are broadly available to employees of the Company, to fail to meet the requirements of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118" w:name="page119"/>
    <w:bookmarkEnd w:id="118"/>
    <w:p>
      <w:pPr>
        <w:ind w:left="660" w:hanging="652"/>
        <w:spacing w:after="0"/>
        <w:tabs>
          <w:tab w:leader="none" w:pos="660" w:val="left"/>
        </w:tabs>
        <w:numPr>
          <w:ilvl w:val="0"/>
          <w:numId w:val="49"/>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Non-Exclusivity</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171717"/>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be credited toward the amount recovered under this Policy, or vice versa.</w:t>
      </w:r>
    </w:p>
    <w:p>
      <w:pPr>
        <w:spacing w:after="0" w:line="17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No Indemnification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1E1E1E"/>
        </w:rPr>
        <w:t xml:space="preserve">The Company shall not indemnify any Covered Persons against (i) the loss of erroneously awarded </w:t>
      </w:r>
      <w:r>
        <w:rPr>
          <w:rFonts w:ascii="Times New Roman" w:cs="Times New Roman" w:eastAsia="Times New Roman" w:hAnsi="Times New Roman"/>
          <w:sz w:val="22"/>
          <w:szCs w:val="22"/>
          <w:color w:val="171717"/>
        </w:rPr>
        <w:t>Incentive-Based</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171717"/>
        </w:rPr>
        <w:t>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171717"/>
        </w:rPr>
        <w:t>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171717"/>
        </w:rPr>
        <w:t>For clarity, the phrase “erroneously awarded” compensation as used herein shall have the meaning described in Exhibit B of this document.</w:t>
      </w:r>
    </w:p>
    <w:p>
      <w:pPr>
        <w:spacing w:after="0" w:line="154"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Covered Person Acknowledgement and Agreement</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171717"/>
        </w:rPr>
        <w:t xml:space="preserve">All Covered Persons subject to this Policy must acknowledge their understanding of, and agreement to comply with, the Policy by executing the certification attached hereto as </w:t>
      </w:r>
      <w:r>
        <w:rPr>
          <w:rFonts w:ascii="Times New Roman" w:cs="Times New Roman" w:eastAsia="Times New Roman" w:hAnsi="Times New Roman"/>
          <w:sz w:val="22"/>
          <w:szCs w:val="22"/>
          <w:u w:val="single" w:color="auto"/>
          <w:color w:val="171717"/>
        </w:rPr>
        <w:t>Exhibit A</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b w:val="1"/>
          <w:bCs w:val="1"/>
          <w:u w:val="single" w:color="auto"/>
          <w:color w:val="171717"/>
        </w:rPr>
        <w:t>Notwithstanding the foregoing, this Policy will apply to Covered</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b w:val="1"/>
          <w:bCs w:val="1"/>
          <w:u w:val="single" w:color="auto"/>
          <w:color w:val="171717"/>
        </w:rPr>
        <w:t>Persons whether or not they execute such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8" w:right="339" w:bottom="1440" w:gutter="0" w:footer="0" w:header="0"/>
        </w:sectPr>
      </w:pPr>
    </w:p>
    <w:bookmarkStart w:id="119" w:name="page120"/>
    <w:bookmarkEnd w:id="119"/>
    <w:p>
      <w:pPr>
        <w:ind w:left="640" w:hanging="632"/>
        <w:spacing w:after="0"/>
        <w:tabs>
          <w:tab w:leader="none" w:pos="640" w:val="left"/>
        </w:tabs>
        <w:numPr>
          <w:ilvl w:val="0"/>
          <w:numId w:val="52"/>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Successors</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171717"/>
        </w:rPr>
        <w:t>This Policy shall be binding and enforceable against all Covered Persons and their beneficiaries, heirs, executors, administrators or other legal representatives and shall inure to the benefit of any successor to the Company.</w:t>
      </w:r>
    </w:p>
    <w:p>
      <w:pPr>
        <w:spacing w:after="0" w:line="167"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Interpretation of Policy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171717"/>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171717"/>
        </w:rPr>
        <w:t>In the event any provision of this Policy is inconsistent with any requirement of any Final Rules, the Administrator, in its sole discretion, shall amend and administer this Policy and bring it into compliance with such rules.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1E1E1E"/>
        </w:rPr>
        <w:t>Any determination under this Policy by the Administrator shall be conclusive and binding on the applicable Covered Person. Determinations of the Administrator need not be uniform with respect to Covered Persons or from one payment or grant to another.</w:t>
      </w:r>
    </w:p>
    <w:p>
      <w:pPr>
        <w:spacing w:after="0" w:line="16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Termination</w:t>
      </w:r>
    </w:p>
    <w:p>
      <w:pPr>
        <w:spacing w:after="0" w:line="2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1E1E1E"/>
        </w:rPr>
        <w:t>The Administrator may make any amendments to this Policy as required under applicable law, rules and regulations, or as otherwise determined by the Administrator in its sole discretion.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The Administrator may terminate this Policy at any time.</w:t>
      </w:r>
    </w:p>
    <w:p>
      <w:pPr>
        <w:spacing w:after="0" w:line="216"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b w:val="1"/>
          <w:bCs w:val="1"/>
          <w:color w:val="171717"/>
        </w:rPr>
      </w:pPr>
      <w:r>
        <w:rPr>
          <w:rFonts w:ascii="Times New Roman" w:cs="Times New Roman" w:eastAsia="Times New Roman" w:hAnsi="Times New Roman"/>
          <w:sz w:val="22"/>
          <w:szCs w:val="22"/>
          <w:b w:val="1"/>
          <w:bCs w:val="1"/>
          <w:color w:val="171717"/>
        </w:rPr>
        <w:t>Definitions</w:t>
      </w:r>
    </w:p>
    <w:p>
      <w:pPr>
        <w:spacing w:after="0" w:line="21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Administrator</w:t>
      </w:r>
      <w:r>
        <w:rPr>
          <w:rFonts w:ascii="Times New Roman" w:cs="Times New Roman" w:eastAsia="Times New Roman" w:hAnsi="Times New Roman"/>
          <w:sz w:val="22"/>
          <w:szCs w:val="22"/>
          <w:color w:val="1E1E1E"/>
        </w:rPr>
        <w:t>” means the Compensation Committee of the Board, or in the absence of a committee of independent directors responsible for executive compensation decisions, a majority of the independent directors serving on the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Board</w:t>
      </w:r>
      <w:r>
        <w:rPr>
          <w:rFonts w:ascii="Times New Roman" w:cs="Times New Roman" w:eastAsia="Times New Roman" w:hAnsi="Times New Roman"/>
          <w:sz w:val="22"/>
          <w:szCs w:val="22"/>
          <w:color w:val="1E1E1E"/>
        </w:rPr>
        <w:t>” means the Board of Directors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Clawback Measurement Date</w:t>
      </w:r>
      <w:r>
        <w:rPr>
          <w:rFonts w:ascii="Times New Roman" w:cs="Times New Roman" w:eastAsia="Times New Roman" w:hAnsi="Times New Roman"/>
          <w:sz w:val="22"/>
          <w:szCs w:val="22"/>
          <w:color w:val="171717"/>
        </w:rPr>
        <w:t>” is the earlier to occur of:</w:t>
      </w:r>
    </w:p>
    <w:p>
      <w:pPr>
        <w:spacing w:after="0" w:line="226" w:lineRule="exact"/>
        <w:rPr>
          <w:sz w:val="20"/>
          <w:szCs w:val="20"/>
          <w:color w:val="auto"/>
        </w:rPr>
      </w:pPr>
    </w:p>
    <w:p>
      <w:pPr>
        <w:jc w:val="both"/>
        <w:ind w:left="660" w:right="20" w:hanging="328"/>
        <w:spacing w:after="0" w:line="263" w:lineRule="auto"/>
        <w:tabs>
          <w:tab w:leader="none" w:pos="652" w:val="left"/>
        </w:tabs>
        <w:numPr>
          <w:ilvl w:val="0"/>
          <w:numId w:val="56"/>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spacing w:after="0" w:line="194" w:lineRule="exact"/>
        <w:rPr>
          <w:rFonts w:ascii="Times New Roman" w:cs="Times New Roman" w:eastAsia="Times New Roman" w:hAnsi="Times New Roman"/>
          <w:sz w:val="22"/>
          <w:szCs w:val="22"/>
          <w:color w:val="171717"/>
        </w:rPr>
      </w:pPr>
    </w:p>
    <w:p>
      <w:pPr>
        <w:ind w:left="660" w:hanging="328"/>
        <w:spacing w:after="0" w:line="271" w:lineRule="auto"/>
        <w:tabs>
          <w:tab w:leader="none" w:pos="659" w:val="left"/>
        </w:tabs>
        <w:numPr>
          <w:ilvl w:val="0"/>
          <w:numId w:val="56"/>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date a court, regulator, or other legally authorized body directs the Company to prepare an accounting restatement as described in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8" w:right="339" w:bottom="1440" w:gutter="0" w:footer="0" w:header="0"/>
        </w:sectPr>
      </w:pPr>
    </w:p>
    <w:bookmarkStart w:id="120" w:name="page121"/>
    <w:bookmarkEnd w:id="120"/>
    <w:p>
      <w:pPr>
        <w:jc w:val="both"/>
        <w:spacing w:after="0" w:line="254"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Clawback Period</w:t>
      </w:r>
      <w:r>
        <w:rPr>
          <w:rFonts w:ascii="Times New Roman" w:cs="Times New Roman" w:eastAsia="Times New Roman" w:hAnsi="Times New Roman"/>
          <w:sz w:val="22"/>
          <w:szCs w:val="22"/>
          <w:color w:val="171717"/>
        </w:rPr>
        <w:t>” 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Company</w:t>
      </w:r>
      <w:r>
        <w:rPr>
          <w:rFonts w:ascii="Times New Roman" w:cs="Times New Roman" w:eastAsia="Times New Roman" w:hAnsi="Times New Roman"/>
          <w:sz w:val="22"/>
          <w:szCs w:val="22"/>
          <w:color w:val="1E1E1E"/>
        </w:rPr>
        <w:t>” means PubMatic, Inc., a Delaware corporation, or any successor corporation.</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Covered Person</w:t>
      </w:r>
      <w:r>
        <w:rPr>
          <w:rFonts w:ascii="Times New Roman" w:cs="Times New Roman" w:eastAsia="Times New Roman" w:hAnsi="Times New Roman"/>
          <w:sz w:val="22"/>
          <w:szCs w:val="22"/>
          <w:color w:val="1E1E1E"/>
        </w:rPr>
        <w:t xml:space="preserve">” means any Executive Officer (as defined in the Final Rules), including, but not limited to, </w:t>
      </w:r>
      <w:r>
        <w:rPr>
          <w:rFonts w:ascii="Times New Roman" w:cs="Times New Roman" w:eastAsia="Times New Roman" w:hAnsi="Times New Roman"/>
          <w:sz w:val="22"/>
          <w:szCs w:val="22"/>
          <w:color w:val="000000"/>
        </w:rPr>
        <w:t>those persons who</w:t>
      </w:r>
      <w:r>
        <w:rPr>
          <w:rFonts w:ascii="Times New Roman" w:cs="Times New Roman" w:eastAsia="Times New Roman" w:hAnsi="Times New Roman"/>
          <w:sz w:val="22"/>
          <w:szCs w:val="22"/>
          <w:color w:val="1E1E1E"/>
        </w:rPr>
        <w:t xml:space="preserve"> </w:t>
      </w:r>
      <w:r>
        <w:rPr>
          <w:rFonts w:ascii="Times New Roman" w:cs="Times New Roman" w:eastAsia="Times New Roman" w:hAnsi="Times New Roman"/>
          <w:sz w:val="22"/>
          <w:szCs w:val="22"/>
          <w:color w:val="000000"/>
        </w:rPr>
        <w:t>are or have been determined to be “officers” of the Company within the meaning of Section 16 of Rule 16a-1(f) of the rules promulgated under the Exchange Act, and “executive officers” of the Company within the meaning of Item 401(b) of Regulation S-K, Rule 3b-7 promulgated under the Exchange Act, and Rule 405 promulgated under the Securities Act of 1933, as amended</w:t>
      </w:r>
      <w:r>
        <w:rPr>
          <w:rFonts w:ascii="Times New Roman" w:cs="Times New Roman" w:eastAsia="Times New Roman" w:hAnsi="Times New Roman"/>
          <w:sz w:val="22"/>
          <w:szCs w:val="22"/>
          <w:color w:val="1E1E1E"/>
        </w:rPr>
        <w:t>; provided that the Administrator may identify additional employees who shall be treated as Covered Persons for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E1E1E"/>
        </w:rPr>
        <w:t>purposes of this Policy with prospective effect, in accordance with the Final Rules</w:t>
      </w:r>
      <w:r>
        <w:rPr>
          <w:rFonts w:ascii="Times New Roman" w:cs="Times New Roman" w:eastAsia="Times New Roman" w:hAnsi="Times New Roman"/>
          <w:sz w:val="22"/>
          <w:szCs w:val="22"/>
          <w:color w:val="000000"/>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Effective Date</w:t>
      </w:r>
      <w:r>
        <w:rPr>
          <w:rFonts w:ascii="Times New Roman" w:cs="Times New Roman" w:eastAsia="Times New Roman" w:hAnsi="Times New Roman"/>
          <w:sz w:val="22"/>
          <w:szCs w:val="22"/>
          <w:color w:val="1E1E1E"/>
        </w:rPr>
        <w:t>” means November 3, 2023, the date the Policy was adopted by the Board.</w:t>
      </w:r>
    </w:p>
    <w:p>
      <w:pPr>
        <w:spacing w:after="0" w:line="22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Exchange</w:t>
      </w:r>
      <w:r>
        <w:rPr>
          <w:rFonts w:ascii="Times New Roman" w:cs="Times New Roman" w:eastAsia="Times New Roman" w:hAnsi="Times New Roman"/>
          <w:sz w:val="22"/>
          <w:szCs w:val="22"/>
          <w:color w:val="1E1E1E"/>
        </w:rPr>
        <w:t>” means the NASDAQ exchange or any other national securities exchange or national securities association in the United States on which the Company has listed its securities for trading.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Exchange Act</w:t>
      </w:r>
      <w:r>
        <w:rPr>
          <w:rFonts w:ascii="Times New Roman" w:cs="Times New Roman" w:eastAsia="Times New Roman" w:hAnsi="Times New Roman"/>
          <w:sz w:val="22"/>
          <w:szCs w:val="22"/>
          <w:color w:val="1E1E1E"/>
        </w:rPr>
        <w:t>” means the Securities Exchange Act of 1934, as amended.</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Final Rules</w:t>
      </w:r>
      <w:r>
        <w:rPr>
          <w:rFonts w:ascii="Times New Roman" w:cs="Times New Roman" w:eastAsia="Times New Roman" w:hAnsi="Times New Roman"/>
          <w:sz w:val="22"/>
          <w:szCs w:val="22"/>
          <w:color w:val="1E1E1E"/>
        </w:rPr>
        <w:t xml:space="preserve">” means the final rules promulgated by the SEC under Section 954 of the Dodd-Frank Act, Rule 10D-1 and </w:t>
      </w:r>
      <w:r>
        <w:rPr>
          <w:rFonts w:ascii="Times New Roman" w:cs="Times New Roman" w:eastAsia="Times New Roman" w:hAnsi="Times New Roman"/>
          <w:sz w:val="22"/>
          <w:szCs w:val="22"/>
          <w:color w:val="171717"/>
        </w:rPr>
        <w:t>Exchange listing standards, as may be amended from time to time</w:t>
      </w:r>
      <w:r>
        <w:rPr>
          <w:rFonts w:ascii="Times New Roman" w:cs="Times New Roman" w:eastAsia="Times New Roman" w:hAnsi="Times New Roman"/>
          <w:sz w:val="22"/>
          <w:szCs w:val="22"/>
          <w:color w:val="1E1E1E"/>
        </w:rPr>
        <w:t>.</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Financial Reporting Measure</w:t>
      </w:r>
      <w:r>
        <w:rPr>
          <w:rFonts w:ascii="Times New Roman" w:cs="Times New Roman" w:eastAsia="Times New Roman" w:hAnsi="Times New Roman"/>
          <w:sz w:val="22"/>
          <w:szCs w:val="22"/>
          <w:color w:val="171717"/>
        </w:rPr>
        <w:t>” 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6" w:right="339" w:bottom="1440" w:gutter="0" w:footer="0" w:header="0"/>
        </w:sectPr>
      </w:pPr>
    </w:p>
    <w:bookmarkStart w:id="121" w:name="page122"/>
    <w:bookmarkEnd w:id="121"/>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in part on satisfying a Financial Reporting Measure goal. “Incentive-Based Compensation” excludes, for example, time-based awards such as stock options or restricted stock units that are granted or vest </w:t>
      </w:r>
      <w:r>
        <w:rPr>
          <w:rFonts w:ascii="Times New Roman" w:cs="Times New Roman" w:eastAsia="Times New Roman" w:hAnsi="Times New Roman"/>
          <w:sz w:val="22"/>
          <w:szCs w:val="22"/>
          <w:i w:val="1"/>
          <w:iCs w:val="1"/>
          <w:color w:val="auto"/>
        </w:rPr>
        <w:t>solely</w:t>
      </w:r>
      <w:r>
        <w:rPr>
          <w:rFonts w:ascii="Times New Roman" w:cs="Times New Roman" w:eastAsia="Times New Roman" w:hAnsi="Times New Roman"/>
          <w:sz w:val="22"/>
          <w:szCs w:val="22"/>
          <w:color w:val="auto"/>
        </w:rPr>
        <w:t xml:space="preserve"> upon completion of a service period; awards based on non-financial strategic or operating metrics such as the consummation of a merger or achievement of non-financial business goals; service-based retention bonuses; discretionary compensation; and salary.</w:t>
      </w:r>
    </w:p>
    <w:p>
      <w:pPr>
        <w:spacing w:after="0" w:line="1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Listing Rule Effective Date</w:t>
      </w:r>
      <w:r>
        <w:rPr>
          <w:rFonts w:ascii="Times New Roman" w:cs="Times New Roman" w:eastAsia="Times New Roman" w:hAnsi="Times New Roman"/>
          <w:sz w:val="22"/>
          <w:szCs w:val="22"/>
          <w:color w:val="171717"/>
        </w:rPr>
        <w:t xml:space="preserve">” means the effective date of </w:t>
      </w:r>
      <w:r>
        <w:rPr>
          <w:rFonts w:ascii="Times New Roman" w:cs="Times New Roman" w:eastAsia="Times New Roman" w:hAnsi="Times New Roman"/>
          <w:sz w:val="22"/>
          <w:szCs w:val="22"/>
          <w:color w:val="1E1E1E"/>
        </w:rPr>
        <w:t>the listing standards of the Exchange on which the Company’s</w:t>
      </w:r>
      <w:r>
        <w:rPr>
          <w:rFonts w:ascii="Times New Roman" w:cs="Times New Roman" w:eastAsia="Times New Roman" w:hAnsi="Times New Roman"/>
          <w:sz w:val="22"/>
          <w:szCs w:val="22"/>
          <w:color w:val="171717"/>
        </w:rPr>
        <w:t xml:space="preserve"> </w:t>
      </w:r>
      <w:r>
        <w:rPr>
          <w:rFonts w:ascii="Times New Roman" w:cs="Times New Roman" w:eastAsia="Times New Roman" w:hAnsi="Times New Roman"/>
          <w:sz w:val="22"/>
          <w:szCs w:val="22"/>
          <w:color w:val="1E1E1E"/>
        </w:rPr>
        <w:t>securities are listed</w:t>
      </w:r>
      <w:r>
        <w:rPr>
          <w:rFonts w:ascii="Times New Roman" w:cs="Times New Roman" w:eastAsia="Times New Roman" w:hAnsi="Times New Roman"/>
          <w:sz w:val="22"/>
          <w:szCs w:val="22"/>
          <w:color w:val="171717"/>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means this Compensation Recovery Policy.</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171717"/>
        </w:rPr>
        <w:t>Incentive-Based Compensation is deemed “</w:t>
      </w:r>
      <w:r>
        <w:rPr>
          <w:rFonts w:ascii="Times New Roman" w:cs="Times New Roman" w:eastAsia="Times New Roman" w:hAnsi="Times New Roman"/>
          <w:sz w:val="22"/>
          <w:szCs w:val="22"/>
          <w:b w:val="1"/>
          <w:bCs w:val="1"/>
          <w:i w:val="1"/>
          <w:iCs w:val="1"/>
          <w:color w:val="171717"/>
        </w:rPr>
        <w:t>Received</w:t>
      </w:r>
      <w:r>
        <w:rPr>
          <w:rFonts w:ascii="Times New Roman" w:cs="Times New Roman" w:eastAsia="Times New Roman" w:hAnsi="Times New Roman"/>
          <w:sz w:val="22"/>
          <w:szCs w:val="22"/>
          <w:color w:val="171717"/>
        </w:rPr>
        <w:t>” 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Recoupment Amount</w:t>
      </w:r>
      <w:r>
        <w:rPr>
          <w:rFonts w:ascii="Times New Roman" w:cs="Times New Roman" w:eastAsia="Times New Roman" w:hAnsi="Times New Roman"/>
          <w:sz w:val="22"/>
          <w:szCs w:val="22"/>
          <w:color w:val="171717"/>
        </w:rPr>
        <w:t>” 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cs="Times New Roman" w:eastAsia="Times New Roman" w:hAnsi="Times New Roman"/>
          <w:sz w:val="22"/>
          <w:szCs w:val="22"/>
          <w:i w:val="1"/>
          <w:iCs w:val="1"/>
          <w:color w:val="171717"/>
        </w:rPr>
        <w:t>i.e</w:t>
      </w:r>
      <w:r>
        <w:rPr>
          <w:rFonts w:ascii="Times New Roman" w:cs="Times New Roman" w:eastAsia="Times New Roman" w:hAnsi="Times New Roman"/>
          <w:sz w:val="22"/>
          <w:szCs w:val="22"/>
          <w:color w:val="171717"/>
        </w:rPr>
        <w:t>., gross of taxes withheld).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SARs</w:t>
      </w:r>
      <w:r>
        <w:rPr>
          <w:rFonts w:ascii="Times New Roman" w:cs="Times New Roman" w:eastAsia="Times New Roman" w:hAnsi="Times New Roman"/>
          <w:sz w:val="22"/>
          <w:szCs w:val="22"/>
          <w:color w:val="171717"/>
        </w:rPr>
        <w:t>” means stock appreciation rights.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SEC</w:t>
      </w:r>
      <w:r>
        <w:rPr>
          <w:rFonts w:ascii="Times New Roman" w:cs="Times New Roman" w:eastAsia="Times New Roman" w:hAnsi="Times New Roman"/>
          <w:sz w:val="22"/>
          <w:szCs w:val="22"/>
          <w:color w:val="171717"/>
        </w:rPr>
        <w:t>” means the U.S. Securities and Exchange Commission.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SOX 304</w:t>
      </w:r>
      <w:r>
        <w:rPr>
          <w:rFonts w:ascii="Times New Roman" w:cs="Times New Roman" w:eastAsia="Times New Roman" w:hAnsi="Times New Roman"/>
          <w:sz w:val="22"/>
          <w:szCs w:val="22"/>
          <w:color w:val="171717"/>
        </w:rPr>
        <w:t>” means Section 304 of the Sarbanes-Oxley Act of 2002.</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1E1E1E"/>
        </w:rPr>
        <w:t>“</w:t>
      </w:r>
      <w:r>
        <w:rPr>
          <w:rFonts w:ascii="Times New Roman" w:cs="Times New Roman" w:eastAsia="Times New Roman" w:hAnsi="Times New Roman"/>
          <w:sz w:val="22"/>
          <w:szCs w:val="22"/>
          <w:b w:val="1"/>
          <w:bCs w:val="1"/>
          <w:i w:val="1"/>
          <w:iCs w:val="1"/>
          <w:color w:val="1E1E1E"/>
        </w:rPr>
        <w:t>Triggering Event</w:t>
      </w:r>
      <w:r>
        <w:rPr>
          <w:rFonts w:ascii="Times New Roman" w:cs="Times New Roman" w:eastAsia="Times New Roman" w:hAnsi="Times New Roman"/>
          <w:sz w:val="22"/>
          <w:szCs w:val="22"/>
          <w:color w:val="1E1E1E"/>
        </w:rPr>
        <w:t>” 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w:t>
      </w:r>
      <w:r>
        <w:rPr>
          <w:rFonts w:ascii="Times New Roman" w:cs="Times New Roman" w:eastAsia="Times New Roman" w:hAnsi="Times New Roman"/>
          <w:sz w:val="22"/>
          <w:szCs w:val="22"/>
          <w:b w:val="1"/>
          <w:bCs w:val="1"/>
          <w:i w:val="1"/>
          <w:iCs w:val="1"/>
          <w:color w:val="171717"/>
        </w:rPr>
        <w:t>TSR</w:t>
      </w:r>
      <w:r>
        <w:rPr>
          <w:rFonts w:ascii="Times New Roman" w:cs="Times New Roman" w:eastAsia="Times New Roman" w:hAnsi="Times New Roman"/>
          <w:sz w:val="22"/>
          <w:szCs w:val="22"/>
          <w:color w:val="171717"/>
        </w:rPr>
        <w:t>” means total stockholder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122" w:name="page123"/>
    <w:bookmarkEnd w:id="122"/>
    <w:p>
      <w:pPr>
        <w:ind w:left="5060"/>
        <w:spacing w:after="0"/>
        <w:rPr>
          <w:sz w:val="20"/>
          <w:szCs w:val="20"/>
          <w:color w:val="auto"/>
        </w:rPr>
      </w:pPr>
      <w:r>
        <w:rPr>
          <w:rFonts w:ascii="Times New Roman" w:cs="Times New Roman" w:eastAsia="Times New Roman" w:hAnsi="Times New Roman"/>
          <w:sz w:val="22"/>
          <w:szCs w:val="22"/>
          <w:b w:val="1"/>
          <w:bCs w:val="1"/>
          <w:color w:val="171717"/>
        </w:rPr>
        <w:t>EXHIBIT A</w:t>
      </w:r>
    </w:p>
    <w:p>
      <w:pPr>
        <w:spacing w:after="0" w:line="1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171717"/>
        </w:rPr>
        <w:t>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certify that:</w:t>
      </w:r>
    </w:p>
    <w:p>
      <w:pPr>
        <w:spacing w:after="0" w:line="214" w:lineRule="exact"/>
        <w:rPr>
          <w:sz w:val="20"/>
          <w:szCs w:val="20"/>
          <w:color w:val="auto"/>
        </w:rPr>
      </w:pPr>
    </w:p>
    <w:p>
      <w:pPr>
        <w:ind w:left="340" w:hanging="332"/>
        <w:spacing w:after="0" w:line="276" w:lineRule="auto"/>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the Company’s Compensation Recovery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 understand that the Company is available to answer any questions I have regarding the Policy.</w:t>
      </w:r>
    </w:p>
    <w:p>
      <w:pPr>
        <w:spacing w:after="0" w:line="166" w:lineRule="exact"/>
        <w:rPr>
          <w:rFonts w:ascii="Times New Roman" w:cs="Times New Roman" w:eastAsia="Times New Roman" w:hAnsi="Times New Roman"/>
          <w:sz w:val="22"/>
          <w:szCs w:val="22"/>
          <w:color w:val="auto"/>
        </w:rPr>
      </w:pPr>
    </w:p>
    <w:p>
      <w:pPr>
        <w:ind w:left="340" w:right="20" w:hanging="332"/>
        <w:spacing w:after="0" w:line="271" w:lineRule="auto"/>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the Policy applies to all of my existing and future compensation-related agreements with the Company, whether or not explicitly stated therein.</w:t>
      </w:r>
    </w:p>
    <w:p>
      <w:pPr>
        <w:spacing w:after="0" w:line="157" w:lineRule="exact"/>
        <w:rPr>
          <w:rFonts w:ascii="Times New Roman" w:cs="Times New Roman" w:eastAsia="Times New Roman" w:hAnsi="Times New Roman"/>
          <w:sz w:val="22"/>
          <w:szCs w:val="22"/>
          <w:color w:val="auto"/>
        </w:rPr>
      </w:pPr>
    </w:p>
    <w:p>
      <w:pPr>
        <w:jc w:val="both"/>
        <w:ind w:left="340" w:hanging="332"/>
        <w:spacing w:after="0" w:line="275" w:lineRule="auto"/>
        <w:tabs>
          <w:tab w:leader="none" w:pos="3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notwithstanding the Company’s certificate of incorporation, bylaws, and any agreement I have with the Company, including any indemnity agreement I have with the Company, I will not be entitled to, and will not seek indemnification from the Company for, any amounts recovered or recoverable by the Company in accordance with the Policy.</w:t>
      </w:r>
    </w:p>
    <w:p>
      <w:pPr>
        <w:spacing w:after="0" w:line="168" w:lineRule="exact"/>
        <w:rPr>
          <w:rFonts w:ascii="Times New Roman" w:cs="Times New Roman" w:eastAsia="Times New Roman" w:hAnsi="Times New Roman"/>
          <w:sz w:val="21"/>
          <w:szCs w:val="21"/>
          <w:color w:val="auto"/>
        </w:rPr>
      </w:pPr>
    </w:p>
    <w:p>
      <w:pPr>
        <w:jc w:val="both"/>
        <w:ind w:left="340" w:hanging="332"/>
        <w:spacing w:after="0" w:line="265" w:lineRule="auto"/>
        <w:tabs>
          <w:tab w:leader="none" w:pos="3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understand and agree that in the event of a conflict between the Policy and the foregoing agreements and understandings on the one hand, and any prior, existing or future agreement, arrangement or understanding, whether oral or written, with respect to the subject matter of the Policy and this Certification, on the other hand, the terms of the Policy and this Certification shall control, and the terms of this Certification shall supersede any provision of such an agreement, arrangement or understanding to the extent of such conflict with respect to the subject matter of the Policy and this Certification.</w:t>
      </w:r>
    </w:p>
    <w:p>
      <w:pPr>
        <w:spacing w:after="0" w:line="165" w:lineRule="exact"/>
        <w:rPr>
          <w:rFonts w:ascii="Times New Roman" w:cs="Times New Roman" w:eastAsia="Times New Roman" w:hAnsi="Times New Roman"/>
          <w:sz w:val="21"/>
          <w:szCs w:val="21"/>
          <w:color w:val="auto"/>
        </w:rPr>
      </w:pPr>
    </w:p>
    <w:p>
      <w:pPr>
        <w:ind w:left="340" w:hanging="332"/>
        <w:spacing w:after="0" w:line="284" w:lineRule="auto"/>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to abide by the terms of the Policy, including, without limitation, by returning any erroneously awarded Incentive-Based Compensation to the Company to the extent required by, and in a manner permitted by, the Policy.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-13970</wp:posOffset>
            </wp:positionV>
            <wp:extent cx="5486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-13970</wp:posOffset>
            </wp:positionV>
            <wp:extent cx="6858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-13970</wp:posOffset>
            </wp:positionV>
            <wp:extent cx="6858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-13970</wp:posOffset>
            </wp:positionV>
            <wp:extent cx="6858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8" w:right="339" w:bottom="1440" w:gutter="0" w:footer="0" w:header="0"/>
        </w:sectPr>
      </w:pPr>
    </w:p>
    <w:bookmarkStart w:id="123" w:name="page124"/>
    <w:bookmarkEnd w:id="123"/>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71717"/>
        </w:rPr>
        <w:t>EXHIBIT B</w:t>
      </w:r>
    </w:p>
    <w:p>
      <w:pPr>
        <w:spacing w:after="0" w:line="1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1E1E1E"/>
        </w:rPr>
        <w:t>Calculation Guidelines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71717"/>
        </w:rPr>
        <w:t>For purposes of calculating the Recoupment Amount:</w:t>
      </w:r>
    </w:p>
    <w:p>
      <w:pPr>
        <w:spacing w:after="0" w:line="233" w:lineRule="exact"/>
        <w:rPr>
          <w:sz w:val="20"/>
          <w:szCs w:val="20"/>
          <w:color w:val="auto"/>
        </w:rPr>
      </w:pPr>
    </w:p>
    <w:p>
      <w:pPr>
        <w:jc w:val="both"/>
        <w:ind w:left="980" w:hanging="324"/>
        <w:spacing w:after="0" w:line="257" w:lineRule="auto"/>
        <w:tabs>
          <w:tab w:leader="none" w:pos="972" w:val="left"/>
        </w:tabs>
        <w:numPr>
          <w:ilvl w:val="0"/>
          <w:numId w:val="5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cash awards, the erroneously awarded compensation is the difference between the amount of the cash award (whether payable as a lump sum or over time) that was received and the amount that should have been received applying the restated Financial Reporting Measure.</w:t>
      </w:r>
    </w:p>
    <w:p>
      <w:pPr>
        <w:spacing w:after="0" w:line="199" w:lineRule="exact"/>
        <w:rPr>
          <w:rFonts w:ascii="Times New Roman" w:cs="Times New Roman" w:eastAsia="Times New Roman" w:hAnsi="Times New Roman"/>
          <w:sz w:val="22"/>
          <w:szCs w:val="22"/>
          <w:color w:val="171717"/>
        </w:rPr>
      </w:pPr>
    </w:p>
    <w:p>
      <w:pPr>
        <w:jc w:val="both"/>
        <w:ind w:left="980" w:hanging="324"/>
        <w:spacing w:after="0" w:line="257" w:lineRule="auto"/>
        <w:tabs>
          <w:tab w:leader="none" w:pos="979" w:val="left"/>
        </w:tabs>
        <w:numPr>
          <w:ilvl w:val="0"/>
          <w:numId w:val="5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cash awards paid from bonus pools, the erroneously awarded compensation is the pro rata portion of any deficiency that results from the aggregate bonus pool that is reduced based on applying the restated Financial Reporting Measure.</w:t>
      </w:r>
    </w:p>
    <w:p>
      <w:pPr>
        <w:spacing w:after="0" w:line="213" w:lineRule="exact"/>
        <w:rPr>
          <w:rFonts w:ascii="Times New Roman" w:cs="Times New Roman" w:eastAsia="Times New Roman" w:hAnsi="Times New Roman"/>
          <w:sz w:val="22"/>
          <w:szCs w:val="22"/>
          <w:color w:val="171717"/>
        </w:rPr>
      </w:pPr>
    </w:p>
    <w:p>
      <w:pPr>
        <w:jc w:val="both"/>
        <w:ind w:left="980" w:hanging="324"/>
        <w:spacing w:after="0" w:line="251" w:lineRule="auto"/>
        <w:tabs>
          <w:tab w:leader="none" w:pos="971" w:val="left"/>
        </w:tabs>
        <w:numPr>
          <w:ilvl w:val="0"/>
          <w:numId w:val="5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spacing w:after="0" w:line="208" w:lineRule="exact"/>
        <w:rPr>
          <w:rFonts w:ascii="Times New Roman" w:cs="Times New Roman" w:eastAsia="Times New Roman" w:hAnsi="Times New Roman"/>
          <w:sz w:val="22"/>
          <w:szCs w:val="22"/>
          <w:color w:val="171717"/>
        </w:rPr>
      </w:pPr>
    </w:p>
    <w:p>
      <w:pPr>
        <w:ind w:left="980" w:hanging="324"/>
        <w:spacing w:after="0" w:line="295" w:lineRule="auto"/>
        <w:tabs>
          <w:tab w:leader="none" w:pos="958" w:val="left"/>
        </w:tabs>
        <w:numPr>
          <w:ilvl w:val="0"/>
          <w:numId w:val="58"/>
        </w:numPr>
        <w:rPr>
          <w:rFonts w:ascii="Times New Roman" w:cs="Times New Roman" w:eastAsia="Times New Roman" w:hAnsi="Times New Roman"/>
          <w:sz w:val="21"/>
          <w:szCs w:val="21"/>
          <w:color w:val="171717"/>
        </w:rPr>
      </w:pPr>
      <w:r>
        <w:rPr>
          <w:rFonts w:ascii="Times New Roman" w:cs="Times New Roman" w:eastAsia="Times New Roman" w:hAnsi="Times New Roman"/>
          <w:sz w:val="21"/>
          <w:szCs w:val="21"/>
          <w:color w:val="171717"/>
        </w:rPr>
        <w:t>For Incentive-Based Compensation based on stock price or TSR, where the amount of erroneously awarded compensation is not subject to mathematical recalculation directly from the information in an accounting restatement:</w:t>
      </w:r>
    </w:p>
    <w:p>
      <w:pPr>
        <w:spacing w:after="0" w:line="162" w:lineRule="exact"/>
        <w:rPr>
          <w:rFonts w:ascii="Times New Roman" w:cs="Times New Roman" w:eastAsia="Times New Roman" w:hAnsi="Times New Roman"/>
          <w:sz w:val="21"/>
          <w:szCs w:val="21"/>
          <w:color w:val="171717"/>
        </w:rPr>
      </w:pPr>
    </w:p>
    <w:p>
      <w:pPr>
        <w:ind w:left="1300" w:hanging="320"/>
        <w:spacing w:after="0" w:line="271" w:lineRule="auto"/>
        <w:tabs>
          <w:tab w:leader="none" w:pos="1288" w:val="left"/>
        </w:tabs>
        <w:numPr>
          <w:ilvl w:val="1"/>
          <w:numId w:val="58"/>
        </w:numPr>
        <w:rPr>
          <w:rFonts w:ascii="Times New Roman" w:cs="Times New Roman" w:eastAsia="Times New Roman" w:hAnsi="Times New Roman"/>
          <w:sz w:val="22"/>
          <w:szCs w:val="22"/>
          <w:color w:val="171717"/>
        </w:rPr>
      </w:pPr>
      <w:r>
        <w:rPr>
          <w:rFonts w:ascii="Times New Roman" w:cs="Times New Roman" w:eastAsia="Times New Roman" w:hAnsi="Times New Roman"/>
          <w:sz w:val="22"/>
          <w:szCs w:val="22"/>
          <w:color w:val="171717"/>
        </w:rPr>
        <w:t>The amount must be based on a reasonable estimate of the effect of the accounting restatement on the stock price or TSR upon which the Incentive-Based Compensation was Received; and</w:t>
      </w:r>
    </w:p>
    <w:p>
      <w:pPr>
        <w:spacing w:after="0" w:line="198" w:lineRule="exact"/>
        <w:rPr>
          <w:rFonts w:ascii="Times New Roman" w:cs="Times New Roman" w:eastAsia="Times New Roman" w:hAnsi="Times New Roman"/>
          <w:sz w:val="22"/>
          <w:szCs w:val="22"/>
          <w:color w:val="171717"/>
        </w:rPr>
      </w:pPr>
    </w:p>
    <w:p>
      <w:pPr>
        <w:ind w:left="1300" w:hanging="320"/>
        <w:spacing w:after="0" w:line="271" w:lineRule="auto"/>
        <w:tabs>
          <w:tab w:leader="none" w:pos="13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171717"/>
        </w:rPr>
        <w:t>The Company must maintain documentation of the determination of that reasonable estimate and the Company must provide such documentation to the Exchange in all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lowerRoman"/>
      <w:start w:val="3"/>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lowerRoman"/>
      <w:start w:val="3"/>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lvl w:ilvl="1">
      <w:lvlJc w:val="left"/>
      <w:lvlText w:val="(%2)"/>
      <w:numFmt w:val="lowerLetter"/>
      <w:start w:val="1"/>
    </w:lvl>
  </w:abstractNum>
  <w:abstractNum w:abstractNumId="34">
    <w:nsid w:val="542289EC"/>
    <w:multiLevelType w:val="hybridMultilevel"/>
    <w:lvl w:ilvl="0">
      <w:lvlJc w:val="left"/>
      <w:lvlText w:val="%1."/>
      <w:numFmt w:val="decimal"/>
      <w:start w:val="1"/>
    </w:lvl>
    <w:lvl w:ilvl="1">
      <w:lvlJc w:val="left"/>
      <w:lvlText w:val="(%2)"/>
      <w:numFmt w:val="lowerLetter"/>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2"/>
    </w:lvl>
  </w:abstractNum>
  <w:abstractNum w:abstractNumId="39">
    <w:nsid w:val="684A481A"/>
    <w:multiLevelType w:val="hybridMultilevel"/>
    <w:lvl w:ilvl="0">
      <w:lvlJc w:val="left"/>
      <w:lvlText w:val="(%1)"/>
      <w:numFmt w:val="lowerLetter"/>
      <w:start w:val="2"/>
    </w:lvl>
  </w:abstractNum>
  <w:abstractNum w:abstractNumId="40">
    <w:nsid w:val="579478FE"/>
    <w:multiLevelType w:val="hybridMultilevel"/>
    <w:lvl w:ilvl="0">
      <w:lvlJc w:val="left"/>
      <w:lvlText w:val="%1."/>
      <w:numFmt w:val="lowerRoman"/>
      <w:start w:val="1"/>
    </w:lvl>
  </w:abstractNum>
  <w:abstractNum w:abstractNumId="41">
    <w:nsid w:val="749ABB43"/>
    <w:multiLevelType w:val="hybridMultilevel"/>
    <w:lvl w:ilvl="0">
      <w:lvlJc w:val="left"/>
      <w:lvlText w:val="%1."/>
      <w:numFmt w:val="decimal"/>
      <w:start w:val="3"/>
    </w:lvl>
  </w:abstractNum>
  <w:abstractNum w:abstractNumId="42">
    <w:nsid w:val="3DC240FB"/>
    <w:multiLevelType w:val="hybridMultilevel"/>
    <w:lvl w:ilvl="0">
      <w:lvlJc w:val="left"/>
      <w:lvlText w:val="%1."/>
      <w:numFmt w:val="decimal"/>
      <w:start w:val="4"/>
    </w:lvl>
  </w:abstractNum>
  <w:abstractNum w:abstractNumId="43">
    <w:nsid w:val="1BA026FA"/>
    <w:multiLevelType w:val="hybridMultilevel"/>
    <w:lvl w:ilvl="0">
      <w:lvlJc w:val="left"/>
      <w:lvlText w:val="%1."/>
      <w:numFmt w:val="decimal"/>
      <w:start w:val="5"/>
    </w:lvl>
  </w:abstractNum>
  <w:abstractNum w:abstractNumId="44">
    <w:nsid w:val="79A1DEAA"/>
    <w:multiLevelType w:val="hybridMultilevel"/>
    <w:lvl w:ilvl="0">
      <w:lvlJc w:val="left"/>
      <w:lvlText w:val="%1."/>
      <w:numFmt w:val="lowerRoman"/>
      <w:start w:val="1"/>
    </w:lvl>
  </w:abstractNum>
  <w:abstractNum w:abstractNumId="45">
    <w:nsid w:val="75C6C33A"/>
    <w:multiLevelType w:val="hybridMultilevel"/>
    <w:lvl w:ilvl="0">
      <w:lvlJc w:val="left"/>
      <w:lvlText w:val="%1."/>
      <w:numFmt w:val="decimal"/>
      <w:start w:val="6"/>
    </w:lvl>
  </w:abstractNum>
  <w:abstractNum w:abstractNumId="46">
    <w:nsid w:val="12E685FB"/>
    <w:multiLevelType w:val="hybridMultilevel"/>
    <w:lvl w:ilvl="0">
      <w:lvlJc w:val="left"/>
      <w:lvlText w:val="%1."/>
      <w:numFmt w:val="decimal"/>
      <w:start w:val="7"/>
    </w:lvl>
  </w:abstractNum>
  <w:abstractNum w:abstractNumId="47">
    <w:nsid w:val="70C6A529"/>
    <w:multiLevelType w:val="hybridMultilevel"/>
    <w:lvl w:ilvl="0">
      <w:lvlJc w:val="left"/>
      <w:lvlText w:val="%1."/>
      <w:numFmt w:val="lowerRoman"/>
      <w:start w:val="1"/>
    </w:lvl>
  </w:abstractNum>
  <w:abstractNum w:abstractNumId="48">
    <w:nsid w:val="520EEDD1"/>
    <w:multiLevelType w:val="hybridMultilevel"/>
    <w:lvl w:ilvl="0">
      <w:lvlJc w:val="left"/>
      <w:lvlText w:val="%1."/>
      <w:numFmt w:val="decimal"/>
      <w:start w:val="8"/>
    </w:lvl>
  </w:abstractNum>
  <w:abstractNum w:abstractNumId="49">
    <w:nsid w:val="374A3FE6"/>
    <w:multiLevelType w:val="hybridMultilevel"/>
    <w:lvl w:ilvl="0">
      <w:lvlJc w:val="left"/>
      <w:lvlText w:val="%1."/>
      <w:numFmt w:val="decimal"/>
      <w:start w:val="9"/>
    </w:lvl>
  </w:abstractNum>
  <w:abstractNum w:abstractNumId="50">
    <w:nsid w:val="4F4EF005"/>
    <w:multiLevelType w:val="hybridMultilevel"/>
    <w:lvl w:ilvl="0">
      <w:lvlJc w:val="left"/>
      <w:lvlText w:val="%1."/>
      <w:numFmt w:val="decimal"/>
      <w:start w:val="10"/>
    </w:lvl>
  </w:abstractNum>
  <w:abstractNum w:abstractNumId="51">
    <w:nsid w:val="23F9C13C"/>
    <w:multiLevelType w:val="hybridMultilevel"/>
    <w:lvl w:ilvl="0">
      <w:lvlJc w:val="left"/>
      <w:lvlText w:val="%1."/>
      <w:numFmt w:val="decimal"/>
      <w:start w:val="11"/>
    </w:lvl>
  </w:abstractNum>
  <w:abstractNum w:abstractNumId="52">
    <w:nsid w:val="649BB77C"/>
    <w:multiLevelType w:val="hybridMultilevel"/>
    <w:lvl w:ilvl="0">
      <w:lvlJc w:val="left"/>
      <w:lvlText w:val="%1."/>
      <w:numFmt w:val="decimal"/>
      <w:start w:val="12"/>
    </w:lvl>
  </w:abstractNum>
  <w:abstractNum w:abstractNumId="53">
    <w:nsid w:val="275AC794"/>
    <w:multiLevelType w:val="hybridMultilevel"/>
    <w:lvl w:ilvl="0">
      <w:lvlJc w:val="left"/>
      <w:lvlText w:val="%1."/>
      <w:numFmt w:val="decimal"/>
      <w:start w:val="13"/>
    </w:lvl>
  </w:abstractNum>
  <w:abstractNum w:abstractNumId="54">
    <w:nsid w:val="39386575"/>
    <w:multiLevelType w:val="hybridMultilevel"/>
    <w:lvl w:ilvl="0">
      <w:lvlJc w:val="left"/>
      <w:lvlText w:val="%1."/>
      <w:numFmt w:val="decimal"/>
      <w:start w:val="14"/>
    </w:lvl>
  </w:abstractNum>
  <w:abstractNum w:abstractNumId="55">
    <w:nsid w:val="1CF10FD8"/>
    <w:multiLevelType w:val="hybridMultilevel"/>
    <w:lvl w:ilvl="0">
      <w:lvlJc w:val="left"/>
      <w:lvlText w:val="%1."/>
      <w:numFmt w:val="lowerRoman"/>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lowerRoman"/>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32"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jpe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13" Type="http://schemas.openxmlformats.org/officeDocument/2006/relationships/hyperlink" Target="http://www.sec.gov/Archives/edgar/data/1422930/000142293022000045/exhibit21-mergeragreement.htm" TargetMode="External"/><Relationship Id="rId114" Type="http://schemas.openxmlformats.org/officeDocument/2006/relationships/hyperlink" Target="https://www.sec.gov/Archives/edgar/data/1422930/000142293021000009/amendedandrestatedcertif.htm" TargetMode="External"/><Relationship Id="rId115" Type="http://schemas.openxmlformats.org/officeDocument/2006/relationships/hyperlink" Target="https://www.sec.gov/Archives/edgar/data/1422930/000142293023000008/ex32arbylawsfebruary2023.htm" TargetMode="External"/><Relationship Id="rId116" Type="http://schemas.openxmlformats.org/officeDocument/2006/relationships/hyperlink" Target="https://www.sec.gov/Archives/edgar/data/0001422930/000162828020016866/exhibit41-sx1a1.htm" TargetMode="External"/><Relationship Id="rId117" Type="http://schemas.openxmlformats.org/officeDocument/2006/relationships/hyperlink" Target="https://www.sec.gov/Archives/edgar/data/1422930/000162828020016438/exhibit42-sx1.htm" TargetMode="External"/><Relationship Id="rId118" Type="http://schemas.openxmlformats.org/officeDocument/2006/relationships/hyperlink" Target="https://www.sec.gov/Archives/edgar/data/1422930/000142293021000009/exhibit43.htm" TargetMode="External"/><Relationship Id="rId119" Type="http://schemas.openxmlformats.org/officeDocument/2006/relationships/hyperlink" Target="https://www.sec.gov/Archives/edgar/data/1422930/000162828020016438/exhibit101-sx1.htm" TargetMode="External"/><Relationship Id="rId120" Type="http://schemas.openxmlformats.org/officeDocument/2006/relationships/hyperlink" Target="https://www.sec.gov/Archives/edgar/data/1422930/000162828020016438/exhibit102-sx1.htm" TargetMode="External"/><Relationship Id="rId121" Type="http://schemas.openxmlformats.org/officeDocument/2006/relationships/hyperlink" Target="https://www.sec.gov/Archives/edgar/data/1422930/000162828020016438/exhibit104-sx1.htm" TargetMode="External"/><Relationship Id="rId122" Type="http://schemas.openxmlformats.org/officeDocument/2006/relationships/hyperlink" Target="https://www.sec.gov/Archives/edgar/data/0001422930/000162828020016866/exhibit105-sx1a1.htm" TargetMode="External"/><Relationship Id="rId123" Type="http://schemas.openxmlformats.org/officeDocument/2006/relationships/hyperlink" Target="https://www.sec.gov/Archives/edgar/data/1422930/000162828020016438/exhibit103-sx1.htm" TargetMode="External"/><Relationship Id="rId124" Type="http://schemas.openxmlformats.org/officeDocument/2006/relationships/hyperlink" Target="https://www.sec.gov/Archives/edgar/data/1422930/000142293021000009/exhibit104form10-k.htm" TargetMode="External"/><Relationship Id="rId125" Type="http://schemas.openxmlformats.org/officeDocument/2006/relationships/hyperlink" Target="https://www.sec.gov/Archives/edgar/data/1422930/000142293021000006/exhibit106.htm" TargetMode="External"/><Relationship Id="rId126" Type="http://schemas.openxmlformats.org/officeDocument/2006/relationships/hyperlink" Target="https://www.sec.gov/Archives/edgar/data/1422930/000142293022000009/exhibit108202110-k.htm" TargetMode="External"/><Relationship Id="rId127" Type="http://schemas.openxmlformats.org/officeDocument/2006/relationships/hyperlink" Target="https://www.sec.gov/Archives/edgar/data/1422930/000142293023000008/ex1092023executivebonusplan.htm" TargetMode="External"/><Relationship Id="rId128" Type="http://schemas.openxmlformats.org/officeDocument/2006/relationships/hyperlink" Target="https://www.sec.gov/Archives/edgar/data/0001422930/000162828020016866/exhibit106-sx1a1.htm" TargetMode="External"/><Relationship Id="rId129" Type="http://schemas.openxmlformats.org/officeDocument/2006/relationships/hyperlink" Target="https://www.sec.gov/Archives/edgar/data/1422930/000142293021000006/exhibit107.htm" TargetMode="External"/><Relationship Id="rId130" Type="http://schemas.openxmlformats.org/officeDocument/2006/relationships/hyperlink" Target="https://www.sec.gov/Archives/edgar/data/0001422930/000162828020016866/exhibit107-sx1a1.htm" TargetMode="External"/><Relationship Id="rId131" Type="http://schemas.openxmlformats.org/officeDocument/2006/relationships/hyperlink" Target="https://www.sec.gov/Archives/edgar/data/0001422930/000162828020016866/exhibit108-sx1a1.htm" TargetMode="External"/><Relationship Id="rId133" Type="http://schemas.openxmlformats.org/officeDocument/2006/relationships/hyperlink" Target="https://www.sec.gov/Archives/edgar/data/0001422930/000162828020016866/exhibit109-sx1a1.htm" TargetMode="External"/><Relationship Id="rId134" Type="http://schemas.openxmlformats.org/officeDocument/2006/relationships/hyperlink" Target="https://www.sec.gov/Archives/edgar/data/1422930/000142293021000006/exhibit102.htm" TargetMode="External"/><Relationship Id="rId135" Type="http://schemas.openxmlformats.org/officeDocument/2006/relationships/hyperlink" Target="https://www.sec.gov/Archives/edgar/data/1422930/000142293021000006/exhibit103.htm" TargetMode="External"/><Relationship Id="rId136" Type="http://schemas.openxmlformats.org/officeDocument/2006/relationships/hyperlink" Target="https://www.sec.gov/Archives/edgar/data/1422930/000142293021000006/exhibit104.htm" TargetMode="External"/><Relationship Id="rId137" Type="http://schemas.openxmlformats.org/officeDocument/2006/relationships/hyperlink" Target="https://www.sec.gov/Archives/edgar/data/1422930/000142293021000006/exhibit105.htm" TargetMode="External"/><Relationship Id="rId138" Type="http://schemas.openxmlformats.org/officeDocument/2006/relationships/hyperlink" Target="https://www.sec.gov/Archives/edgar/data/1422930/000142293022000009/exhibit1018form10-k2021.htm" TargetMode="External"/><Relationship Id="rId139" Type="http://schemas.openxmlformats.org/officeDocument/2006/relationships/hyperlink" Target="https://www.sec.gov/Archives/edgar/data/1422930/000162828020016438/exhibit1013-sx1.htm" TargetMode="External"/><Relationship Id="rId140" Type="http://schemas.openxmlformats.org/officeDocument/2006/relationships/hyperlink" Target="https://www.sec.gov/Archives/edgar/data/1422930/000142293021000006/exhibit101.htm" TargetMode="External"/><Relationship Id="rId141" Type="http://schemas.openxmlformats.org/officeDocument/2006/relationships/hyperlink" Target="https://www.sec.gov/Archives/edgar/data/1422930/000142293021000015/exhibit101april62021.htm" TargetMode="External"/><Relationship Id="rId142" Type="http://schemas.openxmlformats.org/officeDocument/2006/relationships/hyperlink" Target="https://www.sec.gov/Archives/edgar/data/0001422930/000142293021000037/exhibit101-june42021.htm" TargetMode="External"/><Relationship Id="rId143" Type="http://schemas.openxmlformats.org/officeDocument/2006/relationships/hyperlink" Target="https://www.sec.gov/Archives/edgar/data/1422930/000162828020016438/exhibit1014-sx1.htm" TargetMode="External"/><Relationship Id="rId144" Type="http://schemas.openxmlformats.org/officeDocument/2006/relationships/hyperlink" Target="https://www.sec.gov/Archives/edgar/data/1422930/000162828020016438/exhibit1015-sx1.htm" TargetMode="External"/><Relationship Id="rId145" Type="http://schemas.openxmlformats.org/officeDocument/2006/relationships/hyperlink" Target="https://www.sec.gov/Archives/edgar/data/1422930/000162828020016438/exhibit1016-sx1.htm" TargetMode="External"/><Relationship Id="rId146" Type="http://schemas.openxmlformats.org/officeDocument/2006/relationships/hyperlink" Target="https://www.sec.gov/Archives/edgar/data/1422930/000142293021000055/exhibit101q3.htm" TargetMode="External"/><Relationship Id="rId147" Type="http://schemas.openxmlformats.org/officeDocument/2006/relationships/hyperlink" Target="https://www.sec.gov/Archives/edgar/data/1422930/000142293021000055/exhibit102q3.htm" TargetMode="External"/><Relationship Id="rId148" Type="http://schemas.openxmlformats.org/officeDocument/2006/relationships/hyperlink" Target="https://www.sec.gov/Archives/edgar/data/0001422930/000162828020016866/exhibit1020-sx1a1.htm" TargetMode="External"/><Relationship Id="rId149" Type="http://schemas.openxmlformats.org/officeDocument/2006/relationships/hyperlink" Target="https://www.sec.gov/Archives/edgar/data/0001422930/000162828020016866/exhibit1021-sx1a1.htm" TargetMode="External"/><Relationship Id="rId150" Type="http://schemas.openxmlformats.org/officeDocument/2006/relationships/hyperlink" Target="http://www.sec.gov/Archives/edgar/data/1422930/000142293022000048/ex101-svbcreditagreement.htm" TargetMode="External"/><Relationship Id="rId151" Type="http://schemas.openxmlformats.org/officeDocument/2006/relationships/hyperlink" Target="https://www.sec.gov/Archives/edgar/data/1422930/000142293023000023/exhibit101q1advisor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2024-02-28T15:45:35Z</dcterms:created>
  <dcterms:modified xsi:type="dcterms:W3CDTF">2024-02-28T15:45:35Z</dcterms:modified>
</cp:coreProperties>
</file>