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55880</wp:posOffset>
            </wp:positionV>
            <wp:extent cx="1594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74295</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3"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32"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23"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transition period from________to________</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57150</wp:posOffset>
            </wp:positionV>
            <wp:extent cx="1594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PUBMATIC, INC.</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64135</wp:posOffset>
            </wp:positionV>
            <wp:extent cx="1594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4760" w:type="dxa"/>
            <w:vAlign w:val="bottom"/>
          </w:tcPr>
          <w:p>
            <w:pPr>
              <w:jc w:val="center"/>
              <w:ind w:right="1119"/>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099"/>
              <w:spacing w:after="0"/>
              <w:rPr>
                <w:sz w:val="20"/>
                <w:szCs w:val="20"/>
                <w:color w:val="auto"/>
              </w:rPr>
            </w:pPr>
            <w:r>
              <w:rPr>
                <w:rFonts w:ascii="Arial" w:cs="Arial" w:eastAsia="Arial" w:hAnsi="Arial"/>
                <w:sz w:val="18"/>
                <w:szCs w:val="18"/>
                <w:b w:val="1"/>
                <w:bCs w:val="1"/>
                <w:color w:val="auto"/>
                <w:w w:val="89"/>
              </w:rPr>
              <w:t>20-5863224</w:t>
            </w:r>
          </w:p>
        </w:tc>
      </w:tr>
      <w:tr>
        <w:trPr>
          <w:trHeight w:val="217"/>
        </w:trPr>
        <w:tc>
          <w:tcPr>
            <w:tcW w:w="4760" w:type="dxa"/>
            <w:vAlign w:val="bottom"/>
          </w:tcPr>
          <w:p>
            <w:pPr>
              <w:jc w:val="center"/>
              <w:ind w:right="1099"/>
              <w:spacing w:after="0"/>
              <w:rPr>
                <w:sz w:val="20"/>
                <w:szCs w:val="20"/>
                <w:color w:val="auto"/>
              </w:rPr>
            </w:pPr>
            <w:r>
              <w:rPr>
                <w:rFonts w:ascii="Arial" w:cs="Arial" w:eastAsia="Arial" w:hAnsi="Arial"/>
                <w:sz w:val="14"/>
                <w:szCs w:val="14"/>
                <w:b w:val="1"/>
                <w:bCs w:val="1"/>
                <w:i w:val="1"/>
                <w:iCs w:val="1"/>
                <w:color w:val="auto"/>
                <w:w w:val="90"/>
              </w:rPr>
              <w:t>(State or other jurisdiction of incorporation or organization)</w:t>
            </w:r>
          </w:p>
        </w:tc>
        <w:tc>
          <w:tcPr>
            <w:tcW w:w="3600" w:type="dxa"/>
            <w:vAlign w:val="bottom"/>
          </w:tcPr>
          <w:p>
            <w:pPr>
              <w:jc w:val="center"/>
              <w:ind w:left="1099"/>
              <w:spacing w:after="0"/>
              <w:rPr>
                <w:sz w:val="20"/>
                <w:szCs w:val="20"/>
                <w:color w:val="auto"/>
              </w:rPr>
            </w:pPr>
            <w:r>
              <w:rPr>
                <w:rFonts w:ascii="Arial" w:cs="Arial" w:eastAsia="Arial" w:hAnsi="Arial"/>
                <w:sz w:val="14"/>
                <w:szCs w:val="14"/>
                <w:b w:val="1"/>
                <w:bCs w:val="1"/>
                <w:i w:val="1"/>
                <w:iCs w:val="1"/>
                <w:color w:val="auto"/>
                <w:w w:val="93"/>
              </w:rPr>
              <w:t>(I.R.S. Employer Identification Number)</w:t>
            </w:r>
          </w:p>
        </w:tc>
      </w:tr>
      <w:tr>
        <w:trPr>
          <w:trHeight w:val="323"/>
        </w:trPr>
        <w:tc>
          <w:tcPr>
            <w:tcW w:w="4760" w:type="dxa"/>
            <w:vAlign w:val="bottom"/>
          </w:tcPr>
          <w:p>
            <w:pPr>
              <w:jc w:val="center"/>
              <w:ind w:right="1119"/>
              <w:spacing w:after="0"/>
              <w:rPr>
                <w:sz w:val="20"/>
                <w:szCs w:val="20"/>
                <w:color w:val="auto"/>
              </w:rPr>
            </w:pPr>
            <w:r>
              <w:rPr>
                <w:rFonts w:ascii="Arial" w:cs="Arial" w:eastAsia="Arial" w:hAnsi="Arial"/>
                <w:sz w:val="18"/>
                <w:szCs w:val="18"/>
                <w:b w:val="1"/>
                <w:bCs w:val="1"/>
                <w:color w:val="auto"/>
                <w:w w:val="90"/>
              </w:rPr>
              <w:t>Not applicable</w:t>
            </w:r>
          </w:p>
        </w:tc>
        <w:tc>
          <w:tcPr>
            <w:tcW w:w="3600" w:type="dxa"/>
            <w:vAlign w:val="bottom"/>
          </w:tcPr>
          <w:p>
            <w:pPr>
              <w:jc w:val="center"/>
              <w:ind w:left="1099"/>
              <w:spacing w:after="0"/>
              <w:rPr>
                <w:sz w:val="20"/>
                <w:szCs w:val="20"/>
                <w:color w:val="auto"/>
              </w:rPr>
            </w:pPr>
            <w:r>
              <w:rPr>
                <w:rFonts w:ascii="Arial" w:cs="Arial" w:eastAsia="Arial" w:hAnsi="Arial"/>
                <w:sz w:val="18"/>
                <w:szCs w:val="18"/>
                <w:b w:val="1"/>
                <w:bCs w:val="1"/>
                <w:color w:val="auto"/>
                <w:w w:val="89"/>
              </w:rPr>
              <w:t>Not applicable</w:t>
            </w:r>
          </w:p>
        </w:tc>
      </w:tr>
      <w:tr>
        <w:trPr>
          <w:trHeight w:val="217"/>
        </w:trPr>
        <w:tc>
          <w:tcPr>
            <w:tcW w:w="4760" w:type="dxa"/>
            <w:vAlign w:val="bottom"/>
          </w:tcPr>
          <w:p>
            <w:pPr>
              <w:jc w:val="center"/>
              <w:ind w:right="1119"/>
              <w:spacing w:after="0"/>
              <w:rPr>
                <w:sz w:val="20"/>
                <w:szCs w:val="20"/>
                <w:color w:val="auto"/>
              </w:rPr>
            </w:pPr>
            <w:r>
              <w:rPr>
                <w:rFonts w:ascii="Arial" w:cs="Arial" w:eastAsia="Arial" w:hAnsi="Arial"/>
                <w:sz w:val="14"/>
                <w:szCs w:val="14"/>
                <w:color w:val="auto"/>
                <w:w w:val="95"/>
              </w:rPr>
              <w:t>(Address of principal executive offices)</w:t>
            </w:r>
          </w:p>
        </w:tc>
        <w:tc>
          <w:tcPr>
            <w:tcW w:w="3600" w:type="dxa"/>
            <w:vAlign w:val="bottom"/>
          </w:tcPr>
          <w:p>
            <w:pPr>
              <w:jc w:val="center"/>
              <w:ind w:left="1099"/>
              <w:spacing w:after="0"/>
              <w:rPr>
                <w:sz w:val="20"/>
                <w:szCs w:val="20"/>
                <w:color w:val="auto"/>
              </w:rPr>
            </w:pPr>
            <w:r>
              <w:rPr>
                <w:rFonts w:ascii="Arial" w:cs="Arial" w:eastAsia="Arial" w:hAnsi="Arial"/>
                <w:sz w:val="14"/>
                <w:szCs w:val="14"/>
                <w:color w:val="auto"/>
                <w:w w:val="93"/>
              </w:rPr>
              <w:t>(Zip Code)</w:t>
            </w:r>
          </w:p>
        </w:tc>
      </w:tr>
    </w:tbl>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 Lagoon Drive, Suite 180</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Redwood City, California 94065</w:t>
      </w:r>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140970</wp:posOffset>
            </wp:positionV>
            <wp:extent cx="1594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1" w:lineRule="exact"/>
        <w:rPr>
          <w:sz w:val="24"/>
          <w:szCs w:val="24"/>
          <w:color w:val="auto"/>
        </w:rPr>
      </w:pPr>
    </w:p>
    <w:p>
      <w:pPr>
        <w:ind w:left="1560"/>
        <w:spacing w:after="0"/>
        <w:tabs>
          <w:tab w:leader="none" w:pos="5000" w:val="left"/>
          <w:tab w:leader="none" w:pos="72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5"/>
          <w:szCs w:val="15"/>
          <w:b w:val="1"/>
          <w:bCs w:val="1"/>
          <w:color w:val="auto"/>
        </w:rPr>
        <w:t>Name of each exchange on which registered</w:t>
      </w:r>
    </w:p>
    <w:p>
      <w:pPr>
        <w:spacing w:after="0" w:line="67" w:lineRule="exact"/>
        <w:rPr>
          <w:sz w:val="24"/>
          <w:szCs w:val="24"/>
          <w:color w:val="auto"/>
        </w:rPr>
      </w:pPr>
    </w:p>
    <w:p>
      <w:pPr>
        <w:ind w:left="360"/>
        <w:spacing w:after="0"/>
        <w:tabs>
          <w:tab w:leader="none" w:pos="5360" w:val="left"/>
          <w:tab w:leader="none" w:pos="7880" w:val="left"/>
        </w:tabs>
        <w:rPr>
          <w:sz w:val="20"/>
          <w:szCs w:val="20"/>
          <w:color w:val="auto"/>
        </w:rPr>
      </w:pPr>
      <w:r>
        <w:rPr>
          <w:rFonts w:ascii="Arial" w:cs="Arial" w:eastAsia="Arial" w:hAnsi="Arial"/>
          <w:sz w:val="18"/>
          <w:szCs w:val="18"/>
          <w:color w:val="auto"/>
        </w:rPr>
        <w:t>Class A common stock, $0.0001 par value per share</w:t>
      </w:r>
      <w:r>
        <w:rPr>
          <w:sz w:val="20"/>
          <w:szCs w:val="20"/>
          <w:color w:val="auto"/>
        </w:rPr>
        <w:tab/>
      </w:r>
      <w:r>
        <w:rPr>
          <w:rFonts w:ascii="Arial" w:cs="Arial" w:eastAsia="Arial" w:hAnsi="Arial"/>
          <w:sz w:val="18"/>
          <w:szCs w:val="18"/>
          <w:color w:val="auto"/>
        </w:rPr>
        <w:t>PUBM</w:t>
      </w:r>
      <w:r>
        <w:rPr>
          <w:sz w:val="20"/>
          <w:szCs w:val="20"/>
          <w:color w:val="auto"/>
        </w:rPr>
        <w:tab/>
      </w:r>
      <w:r>
        <w:rPr>
          <w:rFonts w:ascii="Arial" w:cs="Arial" w:eastAsia="Arial" w:hAnsi="Arial"/>
          <w:sz w:val="16"/>
          <w:szCs w:val="16"/>
          <w:color w:val="auto"/>
        </w:rPr>
        <w:t>The Nasdaq Global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237490</wp:posOffset>
            </wp:positionV>
            <wp:extent cx="1594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12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0"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o No o</w:t>
      </w:r>
    </w:p>
    <w:p>
      <w:pPr>
        <w:spacing w:after="0" w:line="120" w:lineRule="exact"/>
        <w:rPr>
          <w:sz w:val="24"/>
          <w:szCs w:val="24"/>
          <w:color w:val="auto"/>
        </w:rPr>
      </w:pPr>
    </w:p>
    <w:p>
      <w:pPr>
        <w:ind w:right="5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40" w:type="dxa"/>
            <w:vAlign w:val="bottom"/>
            <w:vMerge w:val="restart"/>
          </w:tcPr>
          <w:p>
            <w:pPr>
              <w:ind w:left="360"/>
              <w:spacing w:after="0"/>
              <w:rPr>
                <w:sz w:val="20"/>
                <w:szCs w:val="20"/>
                <w:color w:val="auto"/>
              </w:rPr>
            </w:pPr>
            <w:r>
              <w:rPr>
                <w:rFonts w:ascii="Arial" w:cs="Arial" w:eastAsia="Arial" w:hAnsi="Arial"/>
                <w:sz w:val="22"/>
                <w:szCs w:val="22"/>
                <w:color w:val="auto"/>
              </w:rPr>
              <w:t>o</w:t>
            </w:r>
          </w:p>
        </w:tc>
        <w:tc>
          <w:tcPr>
            <w:tcW w:w="454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1720" w:type="dxa"/>
            <w:vAlign w:val="bottom"/>
            <w:vMerge w:val="restart"/>
          </w:tcPr>
          <w:p>
            <w:pPr>
              <w:ind w:left="1600"/>
              <w:spacing w:after="0"/>
              <w:rPr>
                <w:sz w:val="20"/>
                <w:szCs w:val="20"/>
                <w:color w:val="auto"/>
              </w:rPr>
            </w:pPr>
            <w:r>
              <w:rPr>
                <w:rFonts w:ascii="Arial" w:cs="Arial" w:eastAsia="Arial" w:hAnsi="Arial"/>
                <w:sz w:val="22"/>
                <w:szCs w:val="22"/>
                <w:color w:val="auto"/>
                <w:w w:val="81"/>
              </w:rPr>
              <w:t>o</w:t>
            </w:r>
          </w:p>
        </w:tc>
        <w:tc>
          <w:tcPr>
            <w:tcW w:w="0" w:type="dxa"/>
            <w:vAlign w:val="bottom"/>
          </w:tcPr>
          <w:p>
            <w:pPr>
              <w:spacing w:after="0"/>
              <w:rPr>
                <w:sz w:val="1"/>
                <w:szCs w:val="1"/>
                <w:color w:val="auto"/>
              </w:rPr>
            </w:pPr>
          </w:p>
        </w:tc>
      </w:tr>
      <w:tr>
        <w:trPr>
          <w:trHeight w:val="103"/>
        </w:trPr>
        <w:tc>
          <w:tcPr>
            <w:tcW w:w="164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45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sectPr>
          <w:pgSz w:w="11900" w:h="16838" w:orient="portrait"/>
          <w:cols w:equalWidth="0" w:num="1">
            <w:col w:w="11140"/>
          </w:cols>
          <w:pgMar w:left="320" w:top="1300" w:right="439" w:bottom="1440" w:gutter="0" w:footer="0" w:header="0"/>
        </w:sectPr>
      </w:pPr>
    </w:p>
    <w:tbl>
      <w:tblPr>
        <w:tblLayout w:type="fixed"/>
        <w:tblInd w:w="20" w:type="dxa"/>
        <w:tblCellMar>
          <w:top w:w="0" w:type="dxa"/>
          <w:left w:w="0" w:type="dxa"/>
          <w:bottom w:w="0" w:type="dxa"/>
          <w:right w:w="0" w:type="dxa"/>
        </w:tblCellMar>
      </w:tblPr>
      <w:tr>
        <w:trPr>
          <w:trHeight w:val="211"/>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252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3500" w:type="dxa"/>
            <w:vAlign w:val="bottom"/>
          </w:tcPr>
          <w:p>
            <w:pPr>
              <w:ind w:left="1940"/>
              <w:spacing w:after="0"/>
              <w:rPr>
                <w:sz w:val="20"/>
                <w:szCs w:val="20"/>
                <w:color w:val="auto"/>
              </w:rPr>
            </w:pPr>
            <w:r>
              <w:rPr>
                <w:rFonts w:ascii="Arial" w:cs="Arial" w:eastAsia="Arial" w:hAnsi="Arial"/>
                <w:sz w:val="14"/>
                <w:szCs w:val="14"/>
                <w:color w:val="auto"/>
                <w:w w:val="92"/>
              </w:rPr>
              <w:t>Smaller reporting company</w:t>
            </w:r>
          </w:p>
        </w:tc>
        <w:tc>
          <w:tcPr>
            <w:tcW w:w="0" w:type="dxa"/>
            <w:vAlign w:val="bottom"/>
          </w:tcPr>
          <w:p>
            <w:pPr>
              <w:spacing w:after="0"/>
              <w:rPr>
                <w:sz w:val="1"/>
                <w:szCs w:val="1"/>
                <w:color w:val="auto"/>
              </w:rPr>
            </w:pPr>
          </w:p>
        </w:tc>
      </w:tr>
      <w:tr>
        <w:trPr>
          <w:trHeight w:val="127"/>
        </w:trPr>
        <w:tc>
          <w:tcPr>
            <w:tcW w:w="160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1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00" w:type="dxa"/>
            <w:vAlign w:val="bottom"/>
          </w:tcPr>
          <w:p>
            <w:pPr>
              <w:ind w:left="1940"/>
              <w:spacing w:after="0"/>
              <w:rPr>
                <w:sz w:val="20"/>
                <w:szCs w:val="20"/>
                <w:color w:val="auto"/>
              </w:rPr>
            </w:pPr>
            <w:r>
              <w:rPr>
                <w:rFonts w:ascii="Arial" w:cs="Arial" w:eastAsia="Arial" w:hAnsi="Arial"/>
                <w:sz w:val="14"/>
                <w:szCs w:val="14"/>
                <w:color w:val="auto"/>
                <w:w w:val="92"/>
              </w:rPr>
              <w:t>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22"/>
          <w:szCs w:val="22"/>
          <w:color w:val="auto"/>
        </w:rPr>
        <w:t>o</w:t>
      </w:r>
    </w:p>
    <w:p>
      <w:pPr>
        <w:spacing w:after="0" w:line="5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1" w:lineRule="exact"/>
        <w:rPr>
          <w:sz w:val="24"/>
          <w:szCs w:val="24"/>
          <w:color w:val="auto"/>
        </w:rPr>
      </w:pPr>
    </w:p>
    <w:p>
      <w:pPr>
        <w:sectPr>
          <w:pgSz w:w="11900" w:h="16838" w:orient="portrait"/>
          <w:cols w:equalWidth="0" w:num="2">
            <w:col w:w="9520" w:space="720"/>
            <w:col w:w="900"/>
          </w:cols>
          <w:pgMar w:left="320" w:top="1300" w:right="439" w:bottom="1440" w:gutter="0" w:footer="0" w:header="0"/>
          <w:type w:val="continuous"/>
        </w:sectPr>
      </w:pPr>
    </w:p>
    <w:p>
      <w:pPr>
        <w:spacing w:after="0" w:line="158" w:lineRule="exact"/>
        <w:rPr>
          <w:sz w:val="24"/>
          <w:szCs w:val="24"/>
          <w:color w:val="auto"/>
        </w:rPr>
      </w:pPr>
    </w:p>
    <w:p>
      <w:pPr>
        <w:ind w:right="4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2021, the registrant had 8,967,003 shares of Class A common stock outstanding and 40,399,914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300" w:right="4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20" w:type="dxa"/>
            <w:vAlign w:val="bottom"/>
            <w:gridSpan w:val="9"/>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8"/>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2700" w:type="dxa"/>
            <w:vAlign w:val="bottom"/>
            <w:vMerge w:val="restart"/>
          </w:tcPr>
          <w:p>
            <w:pPr>
              <w:spacing w:after="0"/>
              <w:rPr>
                <w:sz w:val="24"/>
                <w:szCs w:val="24"/>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Borders>
              <w:bottom w:val="single" w:sz="8" w:color="0000FF"/>
            </w:tcBorders>
            <w:gridSpan w:val="8"/>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32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Financial Statements (Unaudited)</w:t>
              </w:r>
            </w:hyperlink>
          </w:p>
        </w:tc>
        <w:tc>
          <w:tcPr>
            <w:tcW w:w="6100" w:type="dxa"/>
            <w:vAlign w:val="bottom"/>
            <w:gridSpan w:val="10"/>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4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480" w:type="dxa"/>
            <w:vAlign w:val="bottom"/>
            <w:gridSpan w:val="2"/>
          </w:tcPr>
          <w:p>
            <w:pPr>
              <w:jc w:val="center"/>
              <w:ind w:left="2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538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8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446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40" w:type="dxa"/>
            <w:vAlign w:val="bottom"/>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w:t>
              </w:r>
            </w:hyperlink>
          </w:p>
        </w:tc>
        <w:tc>
          <w:tcPr>
            <w:tcW w:w="480" w:type="dxa"/>
            <w:vAlign w:val="bottom"/>
            <w:gridSpan w:val="2"/>
          </w:tcPr>
          <w:p>
            <w:pPr>
              <w:jc w:val="center"/>
              <w:ind w:left="29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tcBorders>
              <w:top w:val="single" w:sz="8" w:color="0000FF"/>
            </w:tcBorders>
            <w:gridSpan w:val="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466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4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480" w:type="dxa"/>
            <w:vAlign w:val="bottom"/>
            <w:gridSpan w:val="2"/>
          </w:tcPr>
          <w:p>
            <w:pPr>
              <w:jc w:val="center"/>
              <w:ind w:left="29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6</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480" w:type="dxa"/>
            <w:vAlign w:val="bottom"/>
            <w:gridSpan w:val="2"/>
          </w:tcPr>
          <w:p>
            <w:pPr>
              <w:jc w:val="center"/>
              <w:ind w:left="2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29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7"/>
                <w:szCs w:val="17"/>
                <w:color w:val="0000FF"/>
                <w:w w:val="73"/>
              </w:rPr>
            </w:pPr>
            <w:hyperlink w:anchor="page33">
              <w:r>
                <w:rPr>
                  <w:rFonts w:ascii="Arial" w:cs="Arial" w:eastAsia="Arial" w:hAnsi="Arial"/>
                  <w:sz w:val="17"/>
                  <w:szCs w:val="17"/>
                  <w:color w:val="0000FF"/>
                  <w:w w:val="73"/>
                </w:rPr>
                <w:t>31</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c>
          <w:tcPr>
            <w:tcW w:w="502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32</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2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 OTHER INFORMATION</w:t>
              </w:r>
            </w:hyperlink>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50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3380" w:type="dxa"/>
            <w:vAlign w:val="bottom"/>
            <w:gridSpan w:val="2"/>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3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5180" w:type="dxa"/>
            <w:vAlign w:val="bottom"/>
            <w:gridSpan w:val="5"/>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c>
          <w:tcPr>
            <w:tcW w:w="3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Unregistered Sales of Equity Securities and Use of Proceeds</w:t>
              </w:r>
            </w:hyperlink>
          </w:p>
        </w:tc>
        <w:tc>
          <w:tcPr>
            <w:tcW w:w="2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68</w:t>
              </w:r>
            </w:hyperlink>
          </w:p>
        </w:tc>
        <w:tc>
          <w:tcPr>
            <w:tcW w:w="3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Defaults Upon Senior Securities</w:t>
              </w:r>
            </w:hyperlink>
          </w:p>
        </w:tc>
        <w:tc>
          <w:tcPr>
            <w:tcW w:w="4180" w:type="dxa"/>
            <w:vAlign w:val="bottom"/>
            <w:gridSpan w:val="3"/>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68</w:t>
              </w:r>
            </w:hyperlink>
          </w:p>
        </w:tc>
        <w:tc>
          <w:tcPr>
            <w:tcW w:w="3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6500" w:type="dxa"/>
            <w:vAlign w:val="bottom"/>
            <w:gridSpan w:val="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Mine Safety Disclosures</w:t>
              </w:r>
            </w:hyperlink>
          </w:p>
        </w:tc>
        <w:tc>
          <w:tcPr>
            <w:tcW w:w="3380" w:type="dxa"/>
            <w:vAlign w:val="bottom"/>
            <w:gridSpan w:val="2"/>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c>
          <w:tcPr>
            <w:tcW w:w="3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Other Information</w:t>
              </w:r>
            </w:hyperlink>
          </w:p>
        </w:tc>
        <w:tc>
          <w:tcPr>
            <w:tcW w:w="4740" w:type="dxa"/>
            <w:vAlign w:val="bottom"/>
            <w:gridSpan w:val="4"/>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68</w:t>
              </w:r>
            </w:hyperlink>
          </w:p>
        </w:tc>
        <w:tc>
          <w:tcPr>
            <w:tcW w:w="3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18"/>
                <w:szCs w:val="18"/>
                <w:color w:val="auto"/>
              </w:rPr>
            </w:pPr>
          </w:p>
        </w:tc>
        <w:tc>
          <w:tcPr>
            <w:tcW w:w="5200" w:type="dxa"/>
            <w:vAlign w:val="bottom"/>
            <w:gridSpan w:val="6"/>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69</w:t>
              </w:r>
            </w:hyperlink>
          </w:p>
        </w:tc>
        <w:tc>
          <w:tcPr>
            <w:tcW w:w="3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380" w:type="dxa"/>
            <w:vAlign w:val="bottom"/>
            <w:gridSpan w:val="2"/>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70</w:t>
              </w:r>
            </w:hyperlink>
          </w:p>
        </w:tc>
        <w:tc>
          <w:tcPr>
            <w:tcW w:w="340" w:type="dxa"/>
            <w:vAlign w:val="bottom"/>
          </w:tcPr>
          <w:p>
            <w:pPr>
              <w:spacing w:after="0"/>
              <w:rPr>
                <w:sz w:val="18"/>
                <w:szCs w:val="18"/>
                <w:color w:val="auto"/>
              </w:rPr>
            </w:pPr>
          </w:p>
        </w:tc>
      </w:tr>
      <w:tr>
        <w:trPr>
          <w:trHeight w:val="160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values and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76,646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81,188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Accounts receivable -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173,071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219,511</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291,106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327,114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equipment and software - net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30,044</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non-current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371,246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136,003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176,731</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14,844</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145,253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191,575</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195,819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line="166" w:lineRule="exact"/>
              <w:rPr>
                <w:sz w:val="20"/>
                <w:szCs w:val="20"/>
                <w:color w:val="auto"/>
              </w:rPr>
            </w:pPr>
            <w:r>
              <w:rPr>
                <w:rFonts w:ascii="Arial" w:cs="Arial" w:eastAsia="Arial" w:hAnsi="Arial"/>
                <w:sz w:val="16"/>
                <w:szCs w:val="16"/>
                <w:color w:val="auto"/>
                <w:w w:val="90"/>
              </w:rPr>
              <w:t>Preferred stock, $0.0001 par value per share, 10,000,000 and no shares authorized as of March 31, 2021 and December 31,</w:t>
            </w:r>
          </w:p>
        </w:tc>
        <w:tc>
          <w:tcPr>
            <w:tcW w:w="200" w:type="dxa"/>
            <w:vAlign w:val="bottom"/>
          </w:tcPr>
          <w:p>
            <w:pPr>
              <w:spacing w:after="0"/>
              <w:rPr>
                <w:sz w:val="14"/>
                <w:szCs w:val="14"/>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2020, respectively; No shares issued and outstanding as of March 31, 2021 and December 31, 2020</w:t>
            </w:r>
          </w:p>
        </w:tc>
        <w:tc>
          <w:tcPr>
            <w:tcW w:w="2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Common stock, par value $0.0001 per share; 1,000,000,000 Class A shares authorized as of March 31, 2021 and</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December 31, 2020; 7,057,405 and 6,801,368 shares issued and outstanding as of March 31, 2021 and December 31,</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2020, respectively; 1,000,000,000 Class B shares authorized as of March 31, 2021 and December 31, 2020; 42,208,456</w:t>
            </w: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42,186,774 shares issued and outstanding as of March 31, 2021 and December 31, 2020, respectively.</w:t>
            </w: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w w:val="95"/>
              </w:rPr>
              <w:t>Treasury stock, at cost - 3,139,988 and 3,139,295 shares as of March 31, 2021 and December 31, 2020,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(11,434)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144,163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47,609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42,691</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184,086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175,427</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371,246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10,056</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18,292</w:t>
            </w:r>
          </w:p>
        </w:tc>
      </w:tr>
      <w:tr>
        <w:trPr>
          <w:trHeight w:val="257"/>
        </w:trPr>
        <w:tc>
          <w:tcPr>
            <w:tcW w:w="8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4,349</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17,263</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64"/>
        </w:trPr>
        <w:tc>
          <w:tcPr>
            <w:tcW w:w="8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common stockholders: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Weighted-average shares used to compute net income per share attributable to common stockholders: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49,109,237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10,092,152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56,784,558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13,473,917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(loss) on marketable securities, net of tax</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 w:hanging="215"/>
        <w:spacing w:after="0" w:line="352" w:lineRule="auto"/>
        <w:rPr>
          <w:sz w:val="20"/>
          <w:szCs w:val="20"/>
          <w:color w:val="auto"/>
        </w:rPr>
      </w:pPr>
      <w:r>
        <w:rPr>
          <w:rFonts w:ascii="Arial" w:cs="Arial" w:eastAsia="Arial" w:hAnsi="Arial"/>
          <w:sz w:val="12"/>
          <w:szCs w:val="12"/>
          <w:color w:val="auto"/>
        </w:rPr>
        <w:t>Balance — December 31, 2020 Stock-based compensation Exercise of stock options Repurchase of treasury stock, at cost Other comprehensive loss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income</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 March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Three Months Ended March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80" w:type="dxa"/>
            <w:vAlign w:val="bottom"/>
            <w:tcBorders>
              <w:top w:val="single" w:sz="8" w:color="auto"/>
            </w:tcBorders>
            <w:gridSpan w:val="5"/>
            <w:vMerge w:val="restart"/>
          </w:tcPr>
          <w:p>
            <w:pPr>
              <w:jc w:val="center"/>
              <w:ind w:right="100"/>
              <w:spacing w:after="0"/>
              <w:rPr>
                <w:sz w:val="20"/>
                <w:szCs w:val="20"/>
                <w:color w:val="auto"/>
              </w:rPr>
            </w:pPr>
            <w:r>
              <w:rPr>
                <w:rFonts w:ascii="Arial" w:cs="Arial" w:eastAsia="Arial" w:hAnsi="Arial"/>
                <w:sz w:val="12"/>
                <w:szCs w:val="12"/>
                <w:b w:val="1"/>
                <w:bCs w:val="1"/>
                <w:color w:val="auto"/>
                <w:w w:val="89"/>
              </w:rPr>
              <w:t>Convertible Preferred</w:t>
            </w:r>
          </w:p>
        </w:tc>
        <w:tc>
          <w:tcPr>
            <w:tcW w:w="1480" w:type="dxa"/>
            <w:vAlign w:val="bottom"/>
            <w:tcBorders>
              <w:top w:val="single" w:sz="8" w:color="auto"/>
              <w:right w:val="single" w:sz="8" w:color="auto"/>
            </w:tcBorders>
            <w:gridSpan w:val="5"/>
            <w:vMerge w:val="restart"/>
          </w:tcPr>
          <w:p>
            <w:pPr>
              <w:jc w:val="center"/>
              <w:ind w:right="100"/>
              <w:spacing w:after="0"/>
              <w:rPr>
                <w:sz w:val="20"/>
                <w:szCs w:val="20"/>
                <w:color w:val="auto"/>
              </w:rPr>
            </w:pPr>
            <w:r>
              <w:rPr>
                <w:rFonts w:ascii="Arial" w:cs="Arial" w:eastAsia="Arial" w:hAnsi="Arial"/>
                <w:sz w:val="12"/>
                <w:szCs w:val="12"/>
                <w:b w:val="1"/>
                <w:bCs w:val="1"/>
                <w:color w:val="auto"/>
                <w:w w:val="87"/>
              </w:rPr>
              <w:t>Redeemable Common</w:t>
            </w:r>
          </w:p>
        </w:tc>
        <w:tc>
          <w:tcPr>
            <w:tcW w:w="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80" w:type="dxa"/>
            <w:vAlign w:val="bottom"/>
            <w:gridSpan w:val="5"/>
            <w:vMerge w:val="continue"/>
          </w:tcPr>
          <w:p>
            <w:pPr>
              <w:spacing w:after="0"/>
              <w:rPr>
                <w:sz w:val="4"/>
                <w:szCs w:val="4"/>
                <w:color w:val="auto"/>
              </w:rPr>
            </w:pPr>
          </w:p>
        </w:tc>
        <w:tc>
          <w:tcPr>
            <w:tcW w:w="148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vMerge w:val="restart"/>
          </w:tcPr>
          <w:p>
            <w:pPr>
              <w:jc w:val="center"/>
              <w:ind w:right="98"/>
              <w:spacing w:after="0" w:line="135"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81"/>
        </w:trPr>
        <w:tc>
          <w:tcPr>
            <w:tcW w:w="880" w:type="dxa"/>
            <w:vAlign w:val="bottom"/>
            <w:gridSpan w:val="3"/>
            <w:vMerge w:val="restart"/>
          </w:tcPr>
          <w:p>
            <w:pPr>
              <w:jc w:val="center"/>
              <w:ind w:left="460"/>
              <w:spacing w:after="0"/>
              <w:rPr>
                <w:sz w:val="20"/>
                <w:szCs w:val="20"/>
                <w:color w:val="auto"/>
              </w:rPr>
            </w:pPr>
            <w:r>
              <w:rPr>
                <w:rFonts w:ascii="Arial" w:cs="Arial" w:eastAsia="Arial" w:hAnsi="Arial"/>
                <w:sz w:val="12"/>
                <w:szCs w:val="12"/>
                <w:b w:val="1"/>
                <w:bCs w:val="1"/>
                <w:color w:val="auto"/>
                <w:w w:val="85"/>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restart"/>
          </w:tcPr>
          <w:p>
            <w:pPr>
              <w:jc w:val="center"/>
              <w:ind w:left="440"/>
              <w:spacing w:after="0"/>
              <w:rPr>
                <w:sz w:val="20"/>
                <w:szCs w:val="20"/>
                <w:color w:val="auto"/>
              </w:rPr>
            </w:pPr>
            <w:r>
              <w:rPr>
                <w:rFonts w:ascii="Arial" w:cs="Arial" w:eastAsia="Arial" w:hAnsi="Arial"/>
                <w:sz w:val="12"/>
                <w:szCs w:val="12"/>
                <w:b w:val="1"/>
                <w:bCs w:val="1"/>
                <w:color w:val="auto"/>
                <w:w w:val="85"/>
              </w:rPr>
              <w:t>Stock</w:t>
            </w:r>
          </w:p>
        </w:tc>
        <w:tc>
          <w:tcPr>
            <w:tcW w:w="5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gridSpan w:val="5"/>
            <w:vMerge w:val="restart"/>
          </w:tcPr>
          <w:p>
            <w:pPr>
              <w:ind w:left="340"/>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88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Additional</w:t>
            </w:r>
          </w:p>
        </w:tc>
        <w:tc>
          <w:tcPr>
            <w:tcW w:w="940" w:type="dxa"/>
            <w:vAlign w:val="bottom"/>
            <w:gridSpan w:val="3"/>
            <w:vMerge w:val="restart"/>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7"/>
                <w:szCs w:val="7"/>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Retained</w:t>
            </w:r>
          </w:p>
        </w:tc>
        <w:tc>
          <w:tcPr>
            <w:tcW w:w="84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b w:val="1"/>
                <w:bCs w:val="1"/>
                <w:color w:val="auto"/>
                <w:w w:val="85"/>
              </w:rPr>
              <w:t>Stockholders’</w:t>
            </w:r>
          </w:p>
        </w:tc>
        <w:tc>
          <w:tcPr>
            <w:tcW w:w="0" w:type="dxa"/>
            <w:vAlign w:val="bottom"/>
          </w:tcPr>
          <w:p>
            <w:pPr>
              <w:spacing w:after="0"/>
              <w:rPr>
                <w:sz w:val="1"/>
                <w:szCs w:val="1"/>
                <w:color w:val="auto"/>
              </w:rPr>
            </w:pPr>
          </w:p>
        </w:tc>
      </w:tr>
      <w:tr>
        <w:trPr>
          <w:trHeight w:val="32"/>
        </w:trPr>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00" w:type="dxa"/>
            <w:vAlign w:val="bottom"/>
            <w:gridSpan w:val="3"/>
          </w:tcPr>
          <w:p>
            <w:pPr>
              <w:ind w:left="40"/>
              <w:spacing w:after="0"/>
              <w:rPr>
                <w:sz w:val="20"/>
                <w:szCs w:val="20"/>
                <w:color w:val="auto"/>
              </w:rPr>
            </w:pPr>
            <w:r>
              <w:rPr>
                <w:rFonts w:ascii="Arial" w:cs="Arial" w:eastAsia="Arial" w:hAnsi="Arial"/>
                <w:sz w:val="12"/>
                <w:szCs w:val="12"/>
                <w:b w:val="1"/>
                <w:bCs w:val="1"/>
                <w:color w:val="auto"/>
                <w:w w:val="96"/>
              </w:rPr>
              <w:t>Treasury Stock</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9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60" w:type="dxa"/>
            <w:vAlign w:val="bottom"/>
          </w:tcPr>
          <w:p>
            <w:pPr>
              <w:spacing w:after="0"/>
              <w:rPr>
                <w:sz w:val="14"/>
                <w:szCs w:val="14"/>
                <w:color w:val="auto"/>
              </w:rPr>
            </w:pPr>
          </w:p>
        </w:tc>
        <w:tc>
          <w:tcPr>
            <w:tcW w:w="680" w:type="dxa"/>
            <w:vAlign w:val="bottom"/>
          </w:tcPr>
          <w:p>
            <w:pPr>
              <w:jc w:val="center"/>
              <w:ind w:right="78"/>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3"/>
        </w:trPr>
        <w:tc>
          <w:tcPr>
            <w:tcW w:w="780" w:type="dxa"/>
            <w:vAlign w:val="bottom"/>
            <w:tcBorders>
              <w:top w:val="single" w:sz="8" w:color="auto"/>
            </w:tcBorders>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gridSpan w:val="2"/>
          </w:tcPr>
          <w:p>
            <w:pPr>
              <w:ind w:left="3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right w:val="single" w:sz="8" w:color="auto"/>
            </w:tcBorders>
            <w:gridSpan w:val="2"/>
          </w:tcPr>
          <w:p>
            <w:pPr>
              <w:ind w:lef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48,988,142</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(11,434)</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144,163</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42,691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175,427</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3,318</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278,412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4,918</w:t>
            </w:r>
          </w:p>
        </w:tc>
        <w:tc>
          <w:tcPr>
            <w:tcW w:w="0" w:type="dxa"/>
            <w:vAlign w:val="bottom"/>
          </w:tcPr>
          <w:p>
            <w:pPr>
              <w:spacing w:after="0"/>
              <w:rPr>
                <w:sz w:val="1"/>
                <w:szCs w:val="1"/>
                <w:color w:val="auto"/>
              </w:rPr>
            </w:pPr>
          </w:p>
        </w:tc>
      </w:tr>
      <w:tr>
        <w:trPr>
          <w:trHeight w:val="29"/>
        </w:trPr>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auto"/>
            </w:tcBorders>
            <w:gridSpan w:val="2"/>
          </w:tcPr>
          <w:p>
            <w:pPr>
              <w:ind w:lef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49,265,861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(11,461)</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147,932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47,609</w:t>
            </w:r>
          </w:p>
        </w:tc>
        <w:tc>
          <w:tcPr>
            <w:tcW w:w="8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184,086</w:t>
            </w:r>
          </w:p>
        </w:tc>
        <w:tc>
          <w:tcPr>
            <w:tcW w:w="0" w:type="dxa"/>
            <w:vAlign w:val="bottom"/>
          </w:tcPr>
          <w:p>
            <w:pPr>
              <w:spacing w:after="0"/>
              <w:rPr>
                <w:sz w:val="1"/>
                <w:szCs w:val="1"/>
                <w:color w:val="auto"/>
              </w:rPr>
            </w:pPr>
          </w:p>
        </w:tc>
      </w:tr>
      <w:tr>
        <w:trPr>
          <w:trHeight w:val="69"/>
        </w:trPr>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-950595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-685165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-427990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-170815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Three Months Ended March 31, 2020</w:t>
      </w:r>
    </w:p>
    <w:p>
      <w:pPr>
        <w:spacing w:after="0" w:line="12" w:lineRule="exact"/>
        <w:rPr>
          <w:sz w:val="20"/>
          <w:szCs w:val="20"/>
          <w:color w:val="auto"/>
        </w:rPr>
      </w:pPr>
    </w:p>
    <w:p>
      <w:pPr>
        <w:sectPr>
          <w:pgSz w:w="11900" w:h="16838" w:orient="portrait"/>
          <w:cols w:equalWidth="0" w:num="2">
            <w:col w:w="2080" w:space="180"/>
            <w:col w:w="89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hanging="215"/>
        <w:spacing w:after="0" w:line="361" w:lineRule="auto"/>
        <w:rPr>
          <w:sz w:val="20"/>
          <w:szCs w:val="20"/>
          <w:color w:val="auto"/>
        </w:rPr>
      </w:pPr>
      <w:r>
        <w:rPr>
          <w:rFonts w:ascii="Arial" w:cs="Arial" w:eastAsia="Arial" w:hAnsi="Arial"/>
          <w:sz w:val="12"/>
          <w:szCs w:val="12"/>
          <w:color w:val="auto"/>
        </w:rPr>
        <w:t>Balance — December 31, 2019 Stock-based compensation Exercise of stock options Other comprehensive income Net income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 — March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500" w:type="dxa"/>
            <w:vAlign w:val="bottom"/>
            <w:tcBorders>
              <w:top w:val="single" w:sz="8" w:color="auto"/>
            </w:tcBorders>
            <w:gridSpan w:val="5"/>
            <w:vMerge w:val="restart"/>
          </w:tcPr>
          <w:p>
            <w:pPr>
              <w:ind w:left="160"/>
              <w:spacing w:after="0"/>
              <w:rPr>
                <w:sz w:val="20"/>
                <w:szCs w:val="20"/>
                <w:color w:val="auto"/>
              </w:rPr>
            </w:pPr>
            <w:r>
              <w:rPr>
                <w:rFonts w:ascii="Arial" w:cs="Arial" w:eastAsia="Arial" w:hAnsi="Arial"/>
                <w:sz w:val="12"/>
                <w:szCs w:val="12"/>
                <w:b w:val="1"/>
                <w:bCs w:val="1"/>
                <w:color w:val="auto"/>
              </w:rPr>
              <w:t>Convertible Preferred</w:t>
            </w:r>
          </w:p>
        </w:tc>
        <w:tc>
          <w:tcPr>
            <w:tcW w:w="1500" w:type="dxa"/>
            <w:vAlign w:val="bottom"/>
            <w:tcBorders>
              <w:top w:val="single" w:sz="8" w:color="auto"/>
              <w:right w:val="single" w:sz="8" w:color="auto"/>
            </w:tcBorders>
            <w:gridSpan w:val="5"/>
            <w:vMerge w:val="restart"/>
          </w:tcPr>
          <w:p>
            <w:pPr>
              <w:ind w:left="140"/>
              <w:spacing w:after="0"/>
              <w:rPr>
                <w:sz w:val="20"/>
                <w:szCs w:val="20"/>
                <w:color w:val="auto"/>
              </w:rPr>
            </w:pPr>
            <w:r>
              <w:rPr>
                <w:rFonts w:ascii="Arial" w:cs="Arial" w:eastAsia="Arial" w:hAnsi="Arial"/>
                <w:sz w:val="12"/>
                <w:szCs w:val="12"/>
                <w:b w:val="1"/>
                <w:bCs w:val="1"/>
                <w:color w:val="auto"/>
              </w:rPr>
              <w:t>Redeemable Common</w:t>
            </w:r>
          </w:p>
        </w:tc>
        <w:tc>
          <w:tcPr>
            <w:tcW w:w="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500" w:type="dxa"/>
            <w:vAlign w:val="bottom"/>
            <w:gridSpan w:val="5"/>
            <w:vMerge w:val="continue"/>
          </w:tcPr>
          <w:p>
            <w:pPr>
              <w:spacing w:after="0"/>
              <w:rPr>
                <w:sz w:val="4"/>
                <w:szCs w:val="4"/>
                <w:color w:val="auto"/>
              </w:rPr>
            </w:pPr>
          </w:p>
        </w:tc>
        <w:tc>
          <w:tcPr>
            <w:tcW w:w="150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restart"/>
          </w:tcPr>
          <w:p>
            <w:pPr>
              <w:jc w:val="center"/>
              <w:ind w:right="16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vMerge w:val="restart"/>
          </w:tcPr>
          <w:p>
            <w:pPr>
              <w:jc w:val="center"/>
              <w:ind w:right="98"/>
              <w:spacing w:after="0" w:line="135"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81"/>
        </w:trPr>
        <w:tc>
          <w:tcPr>
            <w:tcW w:w="9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restart"/>
          </w:tcPr>
          <w:p>
            <w:pPr>
              <w:ind w:left="560"/>
              <w:spacing w:after="0"/>
              <w:rPr>
                <w:sz w:val="20"/>
                <w:szCs w:val="20"/>
                <w:color w:val="auto"/>
              </w:rPr>
            </w:pPr>
            <w:r>
              <w:rPr>
                <w:rFonts w:ascii="Arial" w:cs="Arial" w:eastAsia="Arial" w:hAnsi="Arial"/>
                <w:sz w:val="12"/>
                <w:szCs w:val="12"/>
                <w:b w:val="1"/>
                <w:bCs w:val="1"/>
                <w:color w:val="auto"/>
                <w:w w:val="91"/>
              </w:rPr>
              <w:t>Stock</w:t>
            </w:r>
          </w:p>
        </w:tc>
        <w:tc>
          <w:tcPr>
            <w:tcW w:w="5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90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Additional</w:t>
            </w:r>
          </w:p>
        </w:tc>
        <w:tc>
          <w:tcPr>
            <w:tcW w:w="940" w:type="dxa"/>
            <w:vAlign w:val="bottom"/>
            <w:gridSpan w:val="3"/>
            <w:vMerge w:val="restart"/>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7"/>
                <w:szCs w:val="7"/>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Retained</w:t>
            </w:r>
          </w:p>
        </w:tc>
        <w:tc>
          <w:tcPr>
            <w:tcW w:w="84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b w:val="1"/>
                <w:bCs w:val="1"/>
                <w:color w:val="auto"/>
                <w:w w:val="85"/>
              </w:rPr>
              <w:t>Stockholders’</w:t>
            </w:r>
          </w:p>
        </w:tc>
        <w:tc>
          <w:tcPr>
            <w:tcW w:w="0" w:type="dxa"/>
            <w:vAlign w:val="bottom"/>
          </w:tcPr>
          <w:p>
            <w:pPr>
              <w:spacing w:after="0"/>
              <w:rPr>
                <w:sz w:val="1"/>
                <w:szCs w:val="1"/>
                <w:color w:val="auto"/>
              </w:rPr>
            </w:pPr>
          </w:p>
        </w:tc>
      </w:tr>
      <w:tr>
        <w:trPr>
          <w:trHeight w:val="32"/>
        </w:trPr>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87"/>
              </w:rPr>
              <w:t>Treasury Stock</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Paid-In Capital</w:t>
            </w: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60" w:type="dxa"/>
            <w:vAlign w:val="bottom"/>
          </w:tcPr>
          <w:p>
            <w:pPr>
              <w:spacing w:after="0"/>
              <w:rPr>
                <w:sz w:val="14"/>
                <w:szCs w:val="14"/>
                <w:color w:val="auto"/>
              </w:rPr>
            </w:pPr>
          </w:p>
        </w:tc>
        <w:tc>
          <w:tcPr>
            <w:tcW w:w="680" w:type="dxa"/>
            <w:vAlign w:val="bottom"/>
          </w:tcPr>
          <w:p>
            <w:pPr>
              <w:jc w:val="center"/>
              <w:ind w:right="78"/>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3"/>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33,443,969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61,216</w:t>
            </w:r>
          </w:p>
        </w:tc>
        <w:tc>
          <w:tcPr>
            <w:tcW w:w="80" w:type="dxa"/>
            <w:vAlign w:val="bottom"/>
          </w:tcPr>
          <w:p>
            <w:pPr>
              <w:spacing w:after="0"/>
              <w:rPr>
                <w:sz w:val="15"/>
                <w:szCs w:val="15"/>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93"/>
              </w:rPr>
              <w:t>5,901,863</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19,025</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5,746,216</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79"/>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(11,431)</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8,641</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16,078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13,295</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58,452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904</w:t>
            </w:r>
          </w:p>
        </w:tc>
        <w:tc>
          <w:tcPr>
            <w:tcW w:w="0" w:type="dxa"/>
            <w:vAlign w:val="bottom"/>
          </w:tcPr>
          <w:p>
            <w:pPr>
              <w:spacing w:after="0"/>
              <w:rPr>
                <w:sz w:val="1"/>
                <w:szCs w:val="1"/>
                <w:color w:val="auto"/>
              </w:rPr>
            </w:pPr>
          </w:p>
        </w:tc>
      </w:tr>
      <w:tr>
        <w:trPr>
          <w:trHeight w:val="29"/>
        </w:trPr>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20" w:type="dxa"/>
            <w:vAlign w:val="bottom"/>
          </w:tcPr>
          <w:p>
            <w:pPr>
              <w:jc w:val="right"/>
              <w:spacing w:after="0"/>
              <w:rPr>
                <w:sz w:val="20"/>
                <w:szCs w:val="20"/>
                <w:color w:val="auto"/>
              </w:rPr>
            </w:pPr>
            <w:r>
              <w:rPr>
                <w:rFonts w:ascii="Arial" w:cs="Arial" w:eastAsia="Arial" w:hAnsi="Arial"/>
                <w:sz w:val="13"/>
                <w:szCs w:val="13"/>
                <w:color w:val="auto"/>
                <w:w w:val="98"/>
              </w:rPr>
              <w:t>33,443,969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61,216</w:t>
            </w:r>
          </w:p>
        </w:tc>
        <w:tc>
          <w:tcPr>
            <w:tcW w:w="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auto"/>
                <w:w w:val="93"/>
              </w:rPr>
              <w:t>5,901,863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19,025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5,804,668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(11,431)</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9,218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16,982</w:t>
            </w:r>
          </w:p>
        </w:tc>
        <w:tc>
          <w:tcPr>
            <w:tcW w:w="8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14,796</w:t>
            </w:r>
          </w:p>
        </w:tc>
        <w:tc>
          <w:tcPr>
            <w:tcW w:w="0" w:type="dxa"/>
            <w:vAlign w:val="bottom"/>
          </w:tcPr>
          <w:p>
            <w:pPr>
              <w:spacing w:after="0"/>
              <w:rPr>
                <w:sz w:val="1"/>
                <w:szCs w:val="1"/>
                <w:color w:val="auto"/>
              </w:rPr>
            </w:pPr>
          </w:p>
        </w:tc>
      </w:tr>
      <w:tr>
        <w:trPr>
          <w:trHeight w:val="69"/>
        </w:trPr>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-822325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-556895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-299720</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520"/>
            <w:col w:w="90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PUBMATIC,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 FROM OPERATING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4,918</w:t>
            </w:r>
          </w:p>
        </w:tc>
        <w:tc>
          <w:tcPr>
            <w:tcW w:w="8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44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90"/>
        </w:trPr>
        <w:tc>
          <w:tcPr>
            <w:tcW w:w="8440" w:type="dxa"/>
            <w:vAlign w:val="bottom"/>
          </w:tcPr>
          <w:p>
            <w:pPr>
              <w:ind w:left="460"/>
              <w:spacing w:after="0"/>
              <w:rPr>
                <w:sz w:val="20"/>
                <w:szCs w:val="20"/>
                <w:color w:val="auto"/>
              </w:rPr>
            </w:pPr>
            <w:r>
              <w:rPr>
                <w:rFonts w:ascii="Arial" w:cs="Arial" w:eastAsia="Arial" w:hAnsi="Arial"/>
                <w:sz w:val="14"/>
                <w:szCs w:val="14"/>
                <w:color w:val="auto"/>
              </w:rPr>
              <w:t>Provision for doubtful accounts</w:t>
            </w:r>
          </w:p>
        </w:tc>
        <w:tc>
          <w:tcPr>
            <w:tcW w:w="8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0"/>
        </w:trPr>
        <w:tc>
          <w:tcPr>
            <w:tcW w:w="8440" w:type="dxa"/>
            <w:vAlign w:val="bottom"/>
          </w:tcPr>
          <w:p>
            <w:pPr>
              <w:ind w:left="460"/>
              <w:spacing w:after="0"/>
              <w:rPr>
                <w:sz w:val="20"/>
                <w:szCs w:val="20"/>
                <w:color w:val="auto"/>
              </w:rPr>
            </w:pPr>
            <w:r>
              <w:rPr>
                <w:rFonts w:ascii="Arial" w:cs="Arial" w:eastAsia="Arial" w:hAnsi="Arial"/>
                <w:sz w:val="14"/>
                <w:szCs w:val="14"/>
                <w:color w:val="auto"/>
              </w:rPr>
              <w:t>Amortization of premiums on marketable securities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0"/>
        </w:trPr>
        <w:tc>
          <w:tcPr>
            <w:tcW w:w="8440" w:type="dxa"/>
            <w:vAlign w:val="bottom"/>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46,440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32,505</w:t>
            </w:r>
          </w:p>
        </w:tc>
        <w:tc>
          <w:tcPr>
            <w:tcW w:w="0" w:type="dxa"/>
            <w:vAlign w:val="bottom"/>
          </w:tcPr>
          <w:p>
            <w:pPr>
              <w:spacing w:after="0"/>
              <w:rPr>
                <w:sz w:val="1"/>
                <w:szCs w:val="1"/>
                <w:color w:val="auto"/>
              </w:rPr>
            </w:pPr>
          </w:p>
        </w:tc>
      </w:tr>
      <w:tr>
        <w:trPr>
          <w:trHeight w:val="190"/>
        </w:trPr>
        <w:tc>
          <w:tcPr>
            <w:tcW w:w="844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(40,912)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(18,755)</w:t>
            </w:r>
          </w:p>
        </w:tc>
        <w:tc>
          <w:tcPr>
            <w:tcW w:w="0" w:type="dxa"/>
            <w:vAlign w:val="bottom"/>
          </w:tcPr>
          <w:p>
            <w:pPr>
              <w:spacing w:after="0"/>
              <w:rPr>
                <w:sz w:val="1"/>
                <w:szCs w:val="1"/>
                <w:color w:val="auto"/>
              </w:rPr>
            </w:pPr>
          </w:p>
        </w:tc>
      </w:tr>
      <w:tr>
        <w:trPr>
          <w:trHeight w:val="190"/>
        </w:trPr>
        <w:tc>
          <w:tcPr>
            <w:tcW w:w="8440" w:type="dxa"/>
            <w:vAlign w:val="bottom"/>
          </w:tcPr>
          <w:p>
            <w:pPr>
              <w:ind w:left="680"/>
              <w:spacing w:after="0"/>
              <w:rPr>
                <w:sz w:val="20"/>
                <w:szCs w:val="20"/>
                <w:color w:val="auto"/>
              </w:rPr>
            </w:pPr>
            <w:r>
              <w:rPr>
                <w:rFonts w:ascii="Arial" w:cs="Arial" w:eastAsia="Arial" w:hAnsi="Arial"/>
                <w:sz w:val="14"/>
                <w:szCs w:val="14"/>
                <w:color w:val="auto"/>
              </w:rPr>
              <w:t>Accrued expenses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(4,373)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(4,740)</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liabilities, non-current</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12,687</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14,695</w:t>
            </w:r>
          </w:p>
        </w:tc>
        <w:tc>
          <w:tcPr>
            <w:tcW w:w="0" w:type="dxa"/>
            <w:vAlign w:val="bottom"/>
          </w:tcPr>
          <w:p>
            <w:pPr>
              <w:spacing w:after="0"/>
              <w:rPr>
                <w:sz w:val="1"/>
                <w:szCs w:val="1"/>
                <w:color w:val="auto"/>
              </w:rPr>
            </w:pPr>
          </w:p>
        </w:tc>
      </w:tr>
      <w:tr>
        <w:trPr>
          <w:trHeight w:val="26"/>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4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Capitalized software development costs</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90"/>
        </w:trPr>
        <w:tc>
          <w:tcPr>
            <w:tcW w:w="8440" w:type="dxa"/>
            <w:vAlign w:val="bottom"/>
          </w:tcPr>
          <w:p>
            <w:pPr>
              <w:ind w:left="240"/>
              <w:spacing w:after="0"/>
              <w:rPr>
                <w:sz w:val="20"/>
                <w:szCs w:val="20"/>
                <w:color w:val="auto"/>
              </w:rPr>
            </w:pPr>
            <w:r>
              <w:rPr>
                <w:rFonts w:ascii="Arial" w:cs="Arial" w:eastAsia="Arial" w:hAnsi="Arial"/>
                <w:sz w:val="14"/>
                <w:szCs w:val="14"/>
                <w:color w:val="auto"/>
              </w:rPr>
              <w:t>Purchases of marketable securities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(23,168)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(10,498)</w:t>
            </w: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Proceeds from sales of marketable securities</w:t>
            </w: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190"/>
        </w:trPr>
        <w:tc>
          <w:tcPr>
            <w:tcW w:w="8440" w:type="dxa"/>
            <w:vAlign w:val="bottom"/>
          </w:tcPr>
          <w:p>
            <w:pPr>
              <w:ind w:left="240"/>
              <w:spacing w:after="0"/>
              <w:rPr>
                <w:sz w:val="20"/>
                <w:szCs w:val="20"/>
                <w:color w:val="auto"/>
              </w:rPr>
            </w:pPr>
            <w:r>
              <w:rPr>
                <w:rFonts w:ascii="Arial" w:cs="Arial" w:eastAsia="Arial" w:hAnsi="Arial"/>
                <w:sz w:val="14"/>
                <w:szCs w:val="14"/>
                <w:color w:val="auto"/>
              </w:rPr>
              <w:t>Proceeds from maturities of marketable securities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(16,848)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70"/>
        </w:trPr>
        <w:tc>
          <w:tcPr>
            <w:tcW w:w="84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for offering costs</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440" w:type="dxa"/>
            <w:vAlign w:val="bottom"/>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Payments to acquire treasury stock</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8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8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14,943</w:t>
            </w:r>
          </w:p>
        </w:tc>
        <w:tc>
          <w:tcPr>
            <w:tcW w:w="0" w:type="dxa"/>
            <w:vAlign w:val="bottom"/>
          </w:tcPr>
          <w:p>
            <w:pPr>
              <w:spacing w:after="0"/>
              <w:rPr>
                <w:sz w:val="1"/>
                <w:szCs w:val="1"/>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81,188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76,646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49,193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4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paid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NON-CASH INVESTING AND FINANCING INFORMATION:</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4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capitalized as internal use software costs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color w:val="auto"/>
              </w:rPr>
              <w:t>Property and equipment included in accounts payable and accrued expenses</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software costs included in accounts payable and accrued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PUBMATIC,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PubMatic, Inc. and subsidiaries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advertising leveraging an efficient design, machine learning, and data processing capabilities, with customer alignment and global omnichannel reach.</w:t>
      </w:r>
    </w:p>
    <w:p>
      <w:pPr>
        <w:spacing w:after="0" w:line="129"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Fiscal Year</w:t>
      </w:r>
    </w:p>
    <w:p>
      <w:pPr>
        <w:spacing w:after="0" w:line="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Company’s fiscal year ends on December 31, and its fiscal quarters end on March 31, June 30, September 30, and December 31. References to fiscal year 2021, for example, refer to the fiscal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2021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2020, as filed with the SEC on March 26, 2021 (the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registration statement on Form S-1 (the “IPO Registration Statement”) related to its initial public offering (“IPO”) was declared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effective on December 8, 2020, and the Company’s Class A common stock began trading on the Nasdaq Global Market on December 9, 2020.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11, 2020, the Company completed its IPO, in which the Company sold 2,655,000 shares of Class A common stock at a price to the public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per share. The Company received aggregate net proceeds of $45.0 million after deducting underwriting discounts, commissions and offering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IPO, all of the shares of convertible preferred stock outstanding automatically converted into an aggregate of 33,443,969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Deferred offering costs consisted primarily of accounting, legal, and other fees related to the IPO. Prior to the IPO, all deferred offering costs were capitalized in Prepaid expenses and other current assets in the condensed consolidated balance sheets. Upon consummation of the IPO, the $4.4 million of deferred offering costs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80"/>
        <w:spacing w:after="0" w:line="446" w:lineRule="auto"/>
        <w:rPr>
          <w:sz w:val="20"/>
          <w:szCs w:val="20"/>
          <w:color w:val="auto"/>
        </w:rPr>
      </w:pPr>
      <w:r>
        <w:rPr>
          <w:rFonts w:ascii="Arial" w:cs="Arial" w:eastAsia="Arial" w:hAnsi="Arial"/>
          <w:sz w:val="18"/>
          <w:szCs w:val="18"/>
          <w:color w:val="auto"/>
        </w:rPr>
        <w:t xml:space="preserve">reclassified to stockholders’ equity and recorded against the proceeds from the offering. No offering costs were capitalized as of March 31, 2021. </w:t>
      </w:r>
      <w:r>
        <w:rPr>
          <w:rFonts w:ascii="Arial" w:cs="Arial" w:eastAsia="Arial" w:hAnsi="Arial"/>
          <w:sz w:val="18"/>
          <w:szCs w:val="18"/>
          <w:b w:val="1"/>
          <w:bCs w:val="1"/>
          <w:i w:val="1"/>
          <w:iCs w:val="1"/>
          <w:color w:val="auto"/>
        </w:rPr>
        <w:t>Use of Estimates</w:t>
      </w:r>
    </w:p>
    <w:p>
      <w:pPr>
        <w:ind w:right="260" w:firstLine="324"/>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March 31, 2021, including those resulting from the impacts of the COVID-19 pandemic, may result in actual outcomes that differ from those contemplated by the Company’s assumptions and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recognizes and measures compensation expense for all stock-based payment awards granted to employees, directors, and nonemployees, including stock options, restricted stock units (“RSUs”), and the employee stock purchase plan (the “ESPP”) based on the fair value of the awards on the date of grant. The fair value of stock options and shares of common stock to be issued under the ESPP is estimated using the Black Scholes option pricing model. The grant date fair value of RSUs is based on the closing market price of the Company’s Class A common stock on the date of grant. The Black Scholes option pricing model is impacted by the fair value of the Company’s common stock, as well as changes in assumptions regarding a number of highly complex and subjective variables. These variables include, but are not limited to, the expected common stock price volatility over the term of the stock options, the expected term of the stock options, risk-free interest rates, and the expected dividend yield. Stock-based compensation expense for ESPP awards is recognized on a straight-line basis over the term of each ESPP offering period.</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additional information regarding stock-based compensation and the assumptions used for determining the fair value of stock options and ESPP awards, refer to Note 9 — “Stockholders’ Equity and Stock Option Plans.”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 and Accounts Receivable</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defines its revenue concentration based on revenue recognized from individual publishers. For the three months ended March 31, 2021 and 2020, one publisher represented 20% and 24%, respectively, of the Company’s revenue. As of March 31, 2021, three buyers accounted for 29%, 15% and 14%, respectively, of accounts receivable. As of December 31, 2020, four buyers accounted for 33%, 14%, 13% and 11%, respectively, of accounts receivable.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 Attributable to Common Stockholders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Basic and diluted net income per share attributable to Class A and Class B common stock is computed in conformity with the two-class method required for participating securities. The Company considers the preferred stock as participating securities. Holders of participating securities do not have a contractual obligation to share in the Company’s losses. In accordance with the two-class method, earnings allocated to these participating securities and the related number of outstanding shares of the participating securities have been excluded from the computation of basic and diluted net income per share attributable to common stockholders.</w:t>
      </w:r>
    </w:p>
    <w:p>
      <w:pPr>
        <w:spacing w:after="0" w:line="14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the Company’s Class A and Class B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Under the JOBS Act, the Company meets the definition of an emerging growth company and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Company is no longer an emerging growth company or until the Company affirmatively and irrevocably opts out of the extended transition period.</w:t>
      </w:r>
    </w:p>
    <w:p>
      <w:pPr>
        <w:spacing w:after="0" w:line="103"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The guidance is effective for the Company for fiscal year 2022 and requires a modified retrospective adoption, with early adoption permitted. Although the Company is currently evaluating the impact of this guidance on its condensed consolidated financial statements, the Company expects that most of its operating lease commitments will be recognized as operating lease liabilities and right-of-use assets upon adoption of the new guidance.</w:t>
      </w:r>
    </w:p>
    <w:p>
      <w:pPr>
        <w:spacing w:after="0" w:line="13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June 2016,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This update changes the accounting for recognizing impairments of financial assets, such that credit losses for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will be estimated based on expected losses. The update also modifies the impairment models for available-for-sale debt securities and for purchased financial assets with credit deterioration since their origination. ASU 2016-13 is effective for the Company in fiscal year 2023. Early adoption is permitted after for periods beginning after December 15, 2018. The Company has not yet determined the potential effects of this new accounting guidance on its condensed consolidated financial statements.</w:t>
      </w:r>
    </w:p>
    <w:p>
      <w:pPr>
        <w:spacing w:after="0" w:line="15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 xml:space="preserve"> (ASU 2017-04).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2017-04 will be effective for the Company beginning on January 1, 2023. Early adoption is permitted for interim or annual goodwill impairment tests performed after January 1, 2017. At adoption, this update will require a prospective approach. The Company is currently evaluating the impact of adopting this new accounting guidance on its condensed consolidated financial statements and related disclosures.</w:t>
      </w:r>
    </w:p>
    <w:p>
      <w:pPr>
        <w:spacing w:after="0" w:line="12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December 2019 the FASB issued ASU 2019-12—Simplifying the Accounting for Income Taxes (ASU 2019-12). ASU 2019-12 simplifies the accounting for income taxes by removing certain exceptions to general principles in Topic 740 and clarifies and amends existing guidance for clarity and consistent application. This guidance is effective for the Company beginning January 1, 2022. Early adoption is permitted. The Company is currently evaluating the impact of adopting this new accounting guidance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I</w:t>
            </w: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II</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III</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36,090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36,090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30,371</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30,371</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1"/>
                <w:szCs w:val="21"/>
                <w:color w:val="auto"/>
              </w:rPr>
            </w:pP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474"/>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I</w:t>
            </w: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II</w:t>
            </w:r>
          </w:p>
        </w:tc>
        <w:tc>
          <w:tcPr>
            <w:tcW w:w="1100" w:type="dxa"/>
            <w:vAlign w:val="bottom"/>
          </w:tcPr>
          <w:p>
            <w:pPr>
              <w:jc w:val="right"/>
              <w:ind w:right="15"/>
              <w:spacing w:after="0"/>
              <w:rPr>
                <w:sz w:val="20"/>
                <w:szCs w:val="20"/>
                <w:color w:val="auto"/>
              </w:rPr>
            </w:pPr>
            <w:r>
              <w:rPr>
                <w:rFonts w:ascii="Arial" w:cs="Arial" w:eastAsia="Arial" w:hAnsi="Arial"/>
                <w:sz w:val="14"/>
                <w:szCs w:val="14"/>
                <w:b w:val="1"/>
                <w:bCs w:val="1"/>
                <w:color w:val="auto"/>
              </w:rPr>
              <w:t>Level III</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10,794</w:t>
            </w:r>
          </w:p>
        </w:tc>
        <w:tc>
          <w:tcPr>
            <w:tcW w:w="80" w:type="dxa"/>
            <w:vAlign w:val="bottom"/>
          </w:tcPr>
          <w:p>
            <w:pPr>
              <w:spacing w:after="0"/>
              <w:rPr>
                <w:sz w:val="21"/>
                <w:szCs w:val="21"/>
                <w:color w:val="auto"/>
              </w:rPr>
            </w:pP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10,794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7"/>
        </w:trPr>
        <w:tc>
          <w:tcPr>
            <w:tcW w:w="5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Company’s financial assets consist of Level I and II assets. The Company had no Level III assets or liabilities for the periods presented. The Company classifies its cash equivalents and marketable securities within Level I or Level II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marketable securities by significant investment categories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4"/>
              </w:rPr>
              <w:t>March 31, 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Gross Unrealized</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Loss</w:t>
            </w:r>
          </w:p>
        </w:tc>
        <w:tc>
          <w:tcPr>
            <w:tcW w:w="24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30,371</w:t>
            </w:r>
          </w:p>
        </w:tc>
      </w:tr>
      <w:tr>
        <w:trPr>
          <w:trHeight w:val="27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8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33,371</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08"/>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3"/>
              </w:rPr>
              <w:t>December 31, 2020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5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Gross Unrealized</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Gross Unrealized Loss</w:t>
            </w:r>
          </w:p>
        </w:tc>
        <w:tc>
          <w:tcPr>
            <w:tcW w:w="24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r>
      <w:tr>
        <w:trPr>
          <w:trHeight w:val="27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w:t>
            </w:r>
          </w:p>
        </w:tc>
      </w:tr>
      <w:tr>
        <w:trPr>
          <w:trHeight w:val="28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remaining contractual maturity of all marketable securities was within one year as of March 31, 2021 and December 31, 2020. Realized gains and losses were not material for the three months ended March 31, 2021 and 2020. As of March 31, 2021 and 2020, there were no securities that were in an unrealized loss position for more than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equipment and software, net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Network hardware, computer equipment and software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62,764</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equipment and software, gross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89,147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(59,103)</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Depreciation and amortization expense related to property, equipment, and software (excluding amortization of internal use software) was $2.9 million and $2.2 million for the three months ended March 31, 2021 and 2020, respectively.</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capitalized $2.1 million and $1.7 million in software development costs during the three months ended March 31, 2021 and 2020, respectively. Amortization expense of internal use software was $1.6 million and $1.4 million, respectively. These costs are included within cost of revenue in the condensed consolidated statements of operations and comprehensive income.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recognize any impairment charges on its long-lived assets during the three months ended March 31,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consists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 to publishers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168,673</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payable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Arial" w:cs="Arial" w:eastAsia="Arial" w:hAnsi="Arial"/>
                <w:sz w:val="18"/>
                <w:szCs w:val="18"/>
                <w:color w:val="auto"/>
              </w:rPr>
              <w:t>Accrued expenses consist of the following (in thousands):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34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 and Security Agreement</w:t>
      </w:r>
    </w:p>
    <w:p>
      <w:pPr>
        <w:spacing w:after="0" w:line="17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As of March 31, 2021, under the revolving line of credit with Silicon Valley Bank, or, SVB, the amount the Company can borrow was the lesser of $45.0 million or 80% of eligible accounts receivable less certain reserves, minus the aggregate principal amount of all outstanding advances. Interest accrues on advances under the revolving line of credit at a variable rate equal to the prime rate. An unused revolver fee in the amount of 0.30% per annum of the average unused portion of the revolver line is charged and is payable quarterly in arrears in any quarter where the average closing outstanding balance is less than $5.0 million. As of March 31, 2021, the applicable interest rate under the revolving line of credit was 3.25%. The maturity date of the revolving line of credit is June 6, 2021. As of March 31, 2021 there were no outstanding advances under the revolving line of credit.</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Company’s obligations under the line of credit and the letters of credit (described in Note 6) with SVB are secured by substantially all of its assets excluding its intellectual property. The Loan Agreement contains affirmative covenants including financial covenants that, among other things, require the Company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March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Other Contractual Obligations</w:t>
      </w:r>
    </w:p>
    <w:p>
      <w:pPr>
        <w:spacing w:after="0" w:line="17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Company has commitments for future payments related to office facilities leases and other contractual obligations. The Company leases its office facilities under operating lease agreements that expire over varying time periods through the year ending December 31, 2023. Certain of these lease agreements have free or escalating rent payment provisions or fund certain leasehold improvements, which the Company accounts as lease incentives. The Company recognizes rent expense under such agreements on a straight-line basis over the lease term, with any lease incentive amortized as a reduction of rent expense over the lease term. The Company also has other contractual obligations expiring over varying time periods through the year ending December 31, 2022. Other contractual obligations primarily relate to minimum contractual payments due to data center providers.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annual minimum commitments as of March 31, 2021,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Other</w:t>
            </w:r>
          </w:p>
        </w:tc>
      </w:tr>
      <w:tr>
        <w:trPr>
          <w:trHeight w:val="186"/>
        </w:trPr>
        <w:tc>
          <w:tcPr>
            <w:tcW w:w="8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Leases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Contractual Obligations</w:t>
            </w:r>
          </w:p>
        </w:tc>
      </w:tr>
      <w:tr>
        <w:trPr>
          <w:trHeight w:val="25"/>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(for remaining 9 months)</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4,386</w:t>
            </w:r>
          </w:p>
        </w:tc>
      </w:tr>
      <w:tr>
        <w:trPr>
          <w:trHeight w:val="27"/>
        </w:trPr>
        <w:tc>
          <w:tcPr>
            <w:tcW w:w="8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63"/>
        </w:trPr>
        <w:tc>
          <w:tcPr>
            <w:tcW w:w="8020" w:type="dxa"/>
            <w:vAlign w:val="bottom"/>
          </w:tcPr>
          <w:p>
            <w:pPr>
              <w:ind w:left="240"/>
              <w:spacing w:after="0"/>
              <w:rPr>
                <w:sz w:val="20"/>
                <w:szCs w:val="20"/>
                <w:color w:val="auto"/>
              </w:rPr>
            </w:pPr>
            <w:r>
              <w:rPr>
                <w:rFonts w:ascii="Arial" w:cs="Arial" w:eastAsia="Arial" w:hAnsi="Arial"/>
                <w:sz w:val="18"/>
                <w:szCs w:val="18"/>
                <w:color w:val="auto"/>
              </w:rPr>
              <w:t>Total future minimum commitments, net</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2,609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9,141</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Rent expense, net of sublease income, incurred under operating leases was $0.6 million and $0.6 million for three months ended March 31, 2021 and 2020, respectively. Rent expense was offset by sublease income of $0.1 million for the three months ended March 31, 2020. No rent expense was offset by sublease income for the three months ended 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March 31, 2021 and December 31, 2020, the Company had an irrevocable letter of credit outstanding related to noncancelable facilities leases in the amounts of $0.7 million, with annual automatic renewal and final expiration date in June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137"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In June 2020, one of the Company’s buyers which had filed for bankruptcy in March 2019, brought a cause of action to recover amounts paid to the Company 90 days prior to its bankruptcy filing on the basis that such payments constituted preferential payments by the buyer. This matter is being managed by the bankruptcy court in consolidation with the buyer’s overall bankruptcy process. The Company has settled the matter for $0.3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Stock</w:t>
      </w:r>
    </w:p>
    <w:p>
      <w:pPr>
        <w:spacing w:after="0" w:line="17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Upon completion of the IPO in December 11, 2020, all shares of convertible preferred stock outstanding, totaling 33,443,969 shares, were automatically converted into an equivalent number of shares of Class B common stock on a one-to-one basis and their carrying value of $61.2 million was reclassified into stockholders’ equity. As of March 31, 2021, there were no shares of convertible preferred stock issued and outstanding.</w:t>
      </w:r>
    </w:p>
    <w:p>
      <w:pPr>
        <w:spacing w:after="0" w:line="1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connection with the IPO, the Company’s restated certificate of incorporation became effective, which authorized the issuance of 10,000,000 shares of undesignated preferred stock with a par value of $0.0001 with rights and preferences, including voting rights, designated from time to time by the Company’s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Notes Receivable and Redeemable Common Stock</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August 2018, the Company loaned its Chief Executive Officer and Chief Growth Officer a total of $4.0 million under secured nonrecourse promissory notes (the “Notes”). The Notes bear interest at a rate of 2.42% per annum compounded annually and mature on August 30, 2021, with interest and principal due at maturity. The Notes are secured by pledges of 1.6 million shares of outstanding common stock of the Company owned by the two officers (the “Pledged Shares”). The Notes may be prepaid in cash at any time without penalty. At maturity and in certain events of default, the Notes may, at the option of the two officers, be repaid in cash or surrender and cancellation of the Pledged Shares at fair market value. If the Pledged Shares are insufficient to repay the entire amount due under the Notes, then the value of the Pledged Shares will be deemed to be the full amount due under the Notes.</w:t>
      </w:r>
    </w:p>
    <w:p>
      <w:pPr>
        <w:spacing w:after="0" w:line="12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the Company’s only recourse on the Notes and associated interest is the Pledged Shares then the Notes were accounted for as nonrecourse and recorded to stockholders’ equity as of March 31, 2020. This was accounted for as though the Company repurchased the Pledged Shares and in exchange issued the Notes and granted 1.6 million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vested stock options with an exercise price equal to the face value of Notes plus interest. No principal or interest payments were paid during the three months ended March 31, 2020. During the quarter ended September 30, 2020, all principal and interest due under the notes were prepaid.</w:t>
      </w:r>
    </w:p>
    <w:p>
      <w:pPr>
        <w:spacing w:after="0" w:line="8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connection with the Notes, the Company provided the officers with a right to sell to the Company outstanding shares of common stock upon settlement of the Notes (the “Put Option”). The officers may only exercise the Put Option upon repayment of the Notes using the Pledged Shares or upon the prepayment of the Notes using proceeds from the officers’ sale or disposal of the Pledged Shares at a price less than the face value of the Notes. The Put Option allows the officers to require the Company to repurchase any or all common stock held or beneficially owned to offset their tax liabilities resulting from the settlement of the Notes via one of the above methods. As the exercisability of the Put Option and therefore redemption of the common stock is outside the control of the Company then all common stock held or beneficially owned by the officers requires temporary equity classification. The Company therefore classified $19.0 million of common stock outside of stockholders’ equity as of March 31, 2020, which represented the fair value of the shares held or beneficially owned on the transaction date. The Company did not adjust the carrying value of the redeemable common stock during the three months ended March 31, 2020 since a redemption event was not probable. The Put Option expired unexercised upon the repayment of the Notes and during the Company’s quarter ended September 30, 2020, the $19.0 million of redeemable common stock has been reclassified back to common stock.</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 and Stock Option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connection with the IPO in December 2020, the Company’s restated certificate of incorporation became effective, which authorized 1,000,000,000 shares of Class A common stock, $0.0001 par value per share, and 1,000,000,000 shares of Class B common stock, $0.0001 par value per share. Class A and Class B common stock are referred to as common stock throughout the notes to the condensed consolidated financial statements, unless otherwise noted.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Upon completion of the IPO, the Company adopted the 2020 Equity Incentive Plan (“2020 Plan”), pursuant to which the Company may grant stock options, restricted stock awards, stock appreciation rights, restricted stock units (“RSUs”), deferred share units (“DSUs”) performance awards, and stock bonus awards. As of March 31, 2021, the Company has reserved 7,546,410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To the extent outstanding awards under the 2017 Plan and the 2006 Plan are forfeited, lapse unexercised, or would otherwise have been returned to the share reserve under the Prior Plans, the shares of Class B common stock subject to such awards instead will be available for future issuance as Class A common stock under the 2020 Plan. No new awards were issued under the 2006 Plan or 2017 Plan after the effective date of the 2020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under the Company’s equity incentive plan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ind w:left="940"/>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0"/>
        </w:trPr>
        <w:tc>
          <w:tcPr>
            <w:tcW w:w="5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2"/>
        </w:trPr>
        <w:tc>
          <w:tcPr>
            <w:tcW w:w="51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Contractual Term</w:t>
            </w:r>
          </w:p>
        </w:tc>
        <w:tc>
          <w:tcPr>
            <w:tcW w:w="120" w:type="dxa"/>
            <w:vAlign w:val="bottom"/>
          </w:tcPr>
          <w:p>
            <w:pPr>
              <w:spacing w:after="0"/>
              <w:rPr>
                <w:sz w:val="14"/>
                <w:szCs w:val="14"/>
                <w:color w:val="auto"/>
              </w:rPr>
            </w:pPr>
          </w:p>
        </w:tc>
        <w:tc>
          <w:tcPr>
            <w:tcW w:w="132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r>
      <w:tr>
        <w:trPr>
          <w:trHeight w:val="186"/>
        </w:trPr>
        <w:tc>
          <w:tcPr>
            <w:tcW w:w="51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Outstanding Options</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5"/>
              </w:rPr>
              <w:t>Value (in thousands)</w:t>
            </w:r>
          </w:p>
        </w:tc>
      </w:tr>
      <w:tr>
        <w:trPr>
          <w:trHeight w:val="26"/>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8,459,969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r>
      <w:tr>
        <w:trPr>
          <w:trHeight w:val="243"/>
        </w:trPr>
        <w:tc>
          <w:tcPr>
            <w:tcW w:w="51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657,066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440" w:type="dxa"/>
            <w:vAlign w:val="bottom"/>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expired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Outstanding — March 31,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8,832,120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390,601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r>
      <w:tr>
        <w:trPr>
          <w:trHeight w:val="264"/>
        </w:trPr>
        <w:tc>
          <w:tcPr>
            <w:tcW w:w="5180" w:type="dxa"/>
            <w:vAlign w:val="bottom"/>
          </w:tcPr>
          <w:p>
            <w:pPr>
              <w:ind w:left="20"/>
              <w:spacing w:after="0"/>
              <w:rPr>
                <w:sz w:val="20"/>
                <w:szCs w:val="20"/>
                <w:color w:val="auto"/>
              </w:rPr>
            </w:pPr>
            <w:r>
              <w:rPr>
                <w:rFonts w:ascii="Arial" w:cs="Arial" w:eastAsia="Arial" w:hAnsi="Arial"/>
                <w:sz w:val="18"/>
                <w:szCs w:val="18"/>
                <w:color w:val="auto"/>
              </w:rPr>
              <w:t>Vested — March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5,551,331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260,855</w:t>
            </w:r>
          </w:p>
        </w:tc>
      </w:tr>
      <w:tr>
        <w:trPr>
          <w:trHeight w:val="20"/>
        </w:trPr>
        <w:tc>
          <w:tcPr>
            <w:tcW w:w="5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As of March 31, 2021, unrecognized stock-based compensation of $22.7 million related to unvested stock options will be recognized on a straight-line basis over a weighted average period of 3.35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RSU activity under the Company’s equity incentive plan and related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420" w:type="dxa"/>
            <w:vAlign w:val="bottom"/>
            <w:gridSpan w:val="3"/>
          </w:tcPr>
          <w:p>
            <w:pPr>
              <w:ind w:left="1540"/>
              <w:spacing w:after="0"/>
              <w:rPr>
                <w:sz w:val="20"/>
                <w:szCs w:val="20"/>
                <w:color w:val="auto"/>
              </w:rPr>
            </w:pPr>
            <w:r>
              <w:rPr>
                <w:rFonts w:ascii="Arial" w:cs="Arial" w:eastAsia="Arial" w:hAnsi="Arial"/>
                <w:sz w:val="14"/>
                <w:szCs w:val="14"/>
                <w:b w:val="1"/>
                <w:bCs w:val="1"/>
                <w:color w:val="auto"/>
              </w:rPr>
              <w:t>RSUs</w:t>
            </w:r>
          </w:p>
        </w:tc>
        <w:tc>
          <w:tcPr>
            <w:tcW w:w="1020" w:type="dxa"/>
            <w:vAlign w:val="bottom"/>
          </w:tcPr>
          <w:p>
            <w:pPr>
              <w:spacing w:after="0"/>
              <w:rPr>
                <w:sz w:val="16"/>
                <w:szCs w:val="16"/>
                <w:color w:val="auto"/>
              </w:rPr>
            </w:pPr>
          </w:p>
        </w:tc>
      </w:tr>
      <w:tr>
        <w:trPr>
          <w:trHeight w:val="26"/>
        </w:trPr>
        <w:tc>
          <w:tcPr>
            <w:tcW w:w="7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160"/>
        </w:trPr>
        <w:tc>
          <w:tcPr>
            <w:tcW w:w="7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w w:val="96"/>
              </w:rPr>
              <w:t>Weighted-Average Grant</w:t>
            </w:r>
          </w:p>
        </w:tc>
      </w:tr>
      <w:tr>
        <w:trPr>
          <w:trHeight w:val="186"/>
        </w:trPr>
        <w:tc>
          <w:tcPr>
            <w:tcW w:w="7800" w:type="dxa"/>
            <w:vAlign w:val="bottom"/>
          </w:tcPr>
          <w:p>
            <w:pPr>
              <w:spacing w:after="0"/>
              <w:rPr>
                <w:sz w:val="16"/>
                <w:szCs w:val="16"/>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 of Shares</w:t>
            </w: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Date Fair Value per Share</w:t>
            </w:r>
          </w:p>
        </w:tc>
      </w:tr>
      <w:tr>
        <w:trPr>
          <w:trHeight w:val="25"/>
        </w:trPr>
        <w:tc>
          <w:tcPr>
            <w:tcW w:w="78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227,792</w:t>
            </w:r>
          </w:p>
        </w:tc>
        <w:tc>
          <w:tcPr>
            <w:tcW w:w="8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39.47</w:t>
            </w:r>
          </w:p>
        </w:tc>
      </w:tr>
      <w:tr>
        <w:trPr>
          <w:trHeight w:val="27"/>
        </w:trPr>
        <w:tc>
          <w:tcPr>
            <w:tcW w:w="78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March 31, 2021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227,792</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March 31, 2021, unrecognized stock-based compensation of $8.4 million related to unvested RSUs will be recognized on a straight-line basis over a weighted average period of 3.48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November 2020, the Company’s board of directors adopted, and its stockholders approved, the 2020 Employee Stock Purchase Plan (“ESPP”), which became effective in connection with the IPO. A total of 500,000 shares of the Company’s Class A common stock were initially reserved for issuance under the ESPP.</w:t>
      </w:r>
    </w:p>
    <w:p>
      <w:pPr>
        <w:spacing w:after="0" w:line="14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aggregate number of shares reserved for sale under the ESPP will increase automatically on January 1st of each of the first ten calendar years during the term of the ESPP after the first offering date by the number of shares equal to the lesser of 1% of the total outstanding shares of all classes of the Company’s common stock as of the immediately preceding December 31, (rounded down to the nearest whole share) provided that the Company’s board of directors or the compensation committee may, in its sole discretion, reduce the amount of the increase in any particular year. The aggregate number of shares issued over the term of the ESPP, subject to stock dividends, recapitalizations, stock splits, reverse stock splits, subdivisions, combinations, reclassifications or similar changes to the Company’s capital structure, may not exceed 7,500,000 shares of Class A common stock. As of March 31, 2021, the Company has reserved 989,881 shares of its common stock for issuance under the ESPP.</w:t>
      </w:r>
    </w:p>
    <w:p>
      <w:pPr>
        <w:spacing w:after="0" w:line="137"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Under the current ESPP, Class A common stock will be purchased for the accounts of employees participating in the ESPP on each Purchase Date at a price per share equal to eighty-five percent (85%) of the lesser of: (a) the Fair Market Value on the Offering Date or (b) the Fair Market Value on the Purchase Date. No employee may purchase shares under the ESPP at a rate in excess of $25,000 in Fair Market Value for each calendar year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such Offering Period is in effect or 3,500 shares. The 2020 ESPP provides for, at maximum, 27 months offering periods with each offering period may itself consist of one or more six (6)-month purchase periods, generally in May and November each year, beginning December 9, 2020 through May 31, 2022 with Purchase Date on the last day of each Purchase Period. As of March 31, 2021, $1.9 million has been withheld on behalf of employees for a future purchase under the ESPP due to the timing of payroll deductions and is included in accrued and other current liabilities. There were no purchases for the three months ended March 31, 2021 related to the 2020 ESPP.</w:t>
      </w:r>
    </w:p>
    <w:p>
      <w:pPr>
        <w:spacing w:after="0" w:line="14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March 31, 2021, unrecognized stock-based compensation expense related to the ESPP was $4.4 million, which is expected to be recognized over a weighted-average period of 1.17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total stock-based compensation recognized in the condensed consolidated statements of operations and comprehensive income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Tax benefit from stock-based compensation</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net of tax effect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Income Per Share Attributable to Common Stockholders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per share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273"/>
              <w:spacing w:after="0"/>
              <w:rPr>
                <w:sz w:val="20"/>
                <w:szCs w:val="20"/>
                <w:color w:val="auto"/>
              </w:rPr>
            </w:pPr>
            <w:r>
              <w:rPr>
                <w:rFonts w:ascii="Arial" w:cs="Arial" w:eastAsia="Arial" w:hAnsi="Arial"/>
                <w:sz w:val="14"/>
                <w:szCs w:val="14"/>
                <w:b w:val="1"/>
                <w:bCs w:val="1"/>
                <w:color w:val="auto"/>
                <w:w w:val="95"/>
              </w:rPr>
              <w:t>Three Months Ended 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760"/>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Class A</w:t>
            </w:r>
          </w:p>
        </w:tc>
        <w:tc>
          <w:tcPr>
            <w:tcW w:w="940" w:type="dxa"/>
            <w:vAlign w:val="bottom"/>
          </w:tcPr>
          <w:p>
            <w:pPr>
              <w:jc w:val="right"/>
              <w:ind w:right="251"/>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7"/>
          </w:tcPr>
          <w:p>
            <w:pPr>
              <w:jc w:val="center"/>
              <w:ind w:right="131"/>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4,214</w:t>
            </w:r>
          </w:p>
        </w:tc>
        <w:tc>
          <w:tcPr>
            <w:tcW w:w="8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6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Less: Undistributed earnings allocated to participating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6620" w:type="dxa"/>
            <w:vAlign w:val="bottom"/>
          </w:tcPr>
          <w:p>
            <w:pPr>
              <w:ind w:left="460"/>
              <w:spacing w:after="0"/>
              <w:rPr>
                <w:sz w:val="20"/>
                <w:szCs w:val="20"/>
                <w:color w:val="auto"/>
              </w:rPr>
            </w:pPr>
            <w:r>
              <w:rPr>
                <w:rFonts w:ascii="Arial" w:cs="Arial" w:eastAsia="Arial" w:hAnsi="Arial"/>
                <w:sz w:val="18"/>
                <w:szCs w:val="18"/>
                <w:color w:val="auto"/>
              </w:rPr>
              <w:t>Reallocation of net income attributable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6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income attributable to common stockholders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6,853,805</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42,255,432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10,092,152</w:t>
            </w:r>
          </w:p>
        </w:tc>
        <w:tc>
          <w:tcPr>
            <w:tcW w:w="0" w:type="dxa"/>
            <w:vAlign w:val="bottom"/>
          </w:tcPr>
          <w:p>
            <w:pPr>
              <w:spacing w:after="0"/>
              <w:rPr>
                <w:sz w:val="1"/>
                <w:szCs w:val="1"/>
                <w:color w:val="auto"/>
              </w:rPr>
            </w:pPr>
          </w:p>
        </w:tc>
      </w:tr>
      <w:tr>
        <w:trPr>
          <w:trHeight w:val="243"/>
        </w:trPr>
        <w:tc>
          <w:tcPr>
            <w:tcW w:w="6620" w:type="dxa"/>
            <w:vAlign w:val="bottom"/>
          </w:tcPr>
          <w:p>
            <w:pPr>
              <w:ind w:left="680"/>
              <w:spacing w:after="0"/>
              <w:rPr>
                <w:sz w:val="20"/>
                <w:szCs w:val="20"/>
                <w:color w:val="auto"/>
              </w:rPr>
            </w:pPr>
            <w:r>
              <w:rPr>
                <w:rFonts w:ascii="Arial" w:cs="Arial" w:eastAsia="Arial" w:hAnsi="Arial"/>
                <w:sz w:val="18"/>
                <w:szCs w:val="18"/>
                <w:color w:val="auto"/>
              </w:rPr>
              <w:t>Net income per share attributable to common stockholders – 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56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56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6,853,805</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42,255,432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ind w:left="6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10,092,152</w:t>
            </w: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Options to purchase common stock</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228,868</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7,446,453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3,367,216</w:t>
            </w:r>
          </w:p>
        </w:tc>
        <w:tc>
          <w:tcPr>
            <w:tcW w:w="0" w:type="dxa"/>
            <w:vAlign w:val="bottom"/>
          </w:tcPr>
          <w:p>
            <w:pPr>
              <w:spacing w:after="0"/>
              <w:rPr>
                <w:sz w:val="1"/>
                <w:szCs w:val="1"/>
                <w:color w:val="auto"/>
              </w:rPr>
            </w:pPr>
          </w:p>
        </w:tc>
      </w:tr>
      <w:tr>
        <w:trPr>
          <w:trHeight w:val="270"/>
        </w:trPr>
        <w:tc>
          <w:tcPr>
            <w:tcW w:w="6620" w:type="dxa"/>
            <w:vAlign w:val="bottom"/>
          </w:tcPr>
          <w:p>
            <w:pPr>
              <w:ind w:left="560"/>
              <w:spacing w:after="0"/>
              <w:rPr>
                <w:sz w:val="20"/>
                <w:szCs w:val="20"/>
                <w:color w:val="auto"/>
              </w:rPr>
            </w:pPr>
            <w:r>
              <w:rPr>
                <w:rFonts w:ascii="Arial" w:cs="Arial" w:eastAsia="Arial" w:hAnsi="Arial"/>
                <w:sz w:val="18"/>
                <w:szCs w:val="18"/>
                <w:color w:val="auto"/>
              </w:rPr>
              <w:t>Warrants to purchase common stock</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00" w:type="dxa"/>
            <w:vAlign w:val="bottom"/>
          </w:tcPr>
          <w:p>
            <w:pPr>
              <w:ind w:left="6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89"/>
        </w:trPr>
        <w:tc>
          <w:tcPr>
            <w:tcW w:w="662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7,082,673</w:t>
            </w: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49,701,885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13,473,917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20" w:type="dxa"/>
            <w:vAlign w:val="bottom"/>
          </w:tcPr>
          <w:p>
            <w:pPr>
              <w:ind w:left="780"/>
              <w:spacing w:after="0"/>
              <w:rPr>
                <w:sz w:val="20"/>
                <w:szCs w:val="20"/>
                <w:color w:val="auto"/>
              </w:rPr>
            </w:pPr>
            <w:r>
              <w:rPr>
                <w:rFonts w:ascii="Arial" w:cs="Arial" w:eastAsia="Arial" w:hAnsi="Arial"/>
                <w:sz w:val="18"/>
                <w:szCs w:val="18"/>
                <w:color w:val="auto"/>
              </w:rPr>
              <w:t>Net income per share attributable to common stockholders –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w w:val="95"/>
              </w:rPr>
              <w:t>Three Months Ended March 31,</w:t>
            </w:r>
          </w:p>
        </w:tc>
        <w:tc>
          <w:tcPr>
            <w:tcW w:w="900" w:type="dxa"/>
            <w:vAlign w:val="bottom"/>
            <w:tcBorders>
              <w:bottom w:val="single" w:sz="8" w:color="auto"/>
            </w:tcBorders>
          </w:tcPr>
          <w:p>
            <w:pPr>
              <w:spacing w:after="0"/>
              <w:rPr>
                <w:sz w:val="16"/>
                <w:szCs w:val="16"/>
                <w:color w:val="auto"/>
              </w:rPr>
            </w:pPr>
          </w:p>
        </w:tc>
      </w:tr>
      <w:tr>
        <w:trPr>
          <w:trHeight w:val="190"/>
        </w:trPr>
        <w:tc>
          <w:tcPr>
            <w:tcW w:w="66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6"/>
                <w:szCs w:val="16"/>
                <w:color w:val="auto"/>
              </w:rPr>
            </w:pPr>
          </w:p>
        </w:tc>
        <w:tc>
          <w:tcPr>
            <w:tcW w:w="1300" w:type="dxa"/>
            <w:vAlign w:val="bottom"/>
          </w:tcPr>
          <w:p>
            <w:pPr>
              <w:jc w:val="right"/>
              <w:ind w:right="423"/>
              <w:spacing w:after="0"/>
              <w:rPr>
                <w:sz w:val="20"/>
                <w:szCs w:val="20"/>
                <w:color w:val="auto"/>
              </w:rPr>
            </w:pPr>
            <w:r>
              <w:rPr>
                <w:rFonts w:ascii="Arial" w:cs="Arial" w:eastAsia="Arial" w:hAnsi="Arial"/>
                <w:sz w:val="14"/>
                <w:szCs w:val="14"/>
                <w:b w:val="1"/>
                <w:bCs w:val="1"/>
                <w:color w:val="auto"/>
              </w:rPr>
              <w:t>Class A</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Class B</w:t>
            </w:r>
          </w:p>
        </w:tc>
        <w:tc>
          <w:tcPr>
            <w:tcW w:w="1360" w:type="dxa"/>
            <w:vAlign w:val="bottom"/>
          </w:tcPr>
          <w:p>
            <w:pPr>
              <w:jc w:val="right"/>
              <w:ind w:right="479"/>
              <w:spacing w:after="0"/>
              <w:rPr>
                <w:sz w:val="20"/>
                <w:szCs w:val="20"/>
                <w:color w:val="auto"/>
              </w:rPr>
            </w:pPr>
            <w:r>
              <w:rPr>
                <w:rFonts w:ascii="Arial" w:cs="Arial" w:eastAsia="Arial" w:hAnsi="Arial"/>
                <w:sz w:val="14"/>
                <w:szCs w:val="14"/>
                <w:b w:val="1"/>
                <w:bCs w:val="1"/>
                <w:color w:val="auto"/>
              </w:rPr>
              <w:t>Class A</w:t>
            </w: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Class B</w:t>
            </w:r>
          </w:p>
        </w:tc>
      </w:tr>
      <w:tr>
        <w:trPr>
          <w:trHeight w:val="25"/>
        </w:trPr>
        <w:tc>
          <w:tcPr>
            <w:tcW w:w="66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446,845</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2,663,224</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stock issuable upon conversion of convertible preferred stock</w:t>
            </w: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33,443,969</w:t>
            </w: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4"/>
              </w:rPr>
              <w:t>Total excludable from net income per share attributable to common stockholders – diluted</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446,845</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36,107,193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computes its provision for income taxes by applying the estimated annual effective tax rate to pretax income and adjusts the provision for discrete tax items recorded in the period.</w:t>
      </w:r>
    </w:p>
    <w:p>
      <w:pPr>
        <w:spacing w:after="0" w:line="130"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Company recorded a provision for income taxes of $1.9 million and $0.4 million for the three months ended March 31, 2021 and 2020, respectively.</w:t>
      </w:r>
    </w:p>
    <w:p>
      <w:pPr>
        <w:spacing w:after="0" w:line="11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effective income tax rate was 28% for the three months ended March 31, 2021. The income tax expense for the three months ended March 31, 2021 differs from the statutory federal rate of 21% due to nondeductible stock-based compensation, a higher tax rate in certain foreign countries where the Company operates, partially offset by a deduction for foreign-sourced revenue, and federal and state research credits. The effective income tax rate was 31% for the three months ended March 31, 2020 differs from the statutory federal rate of 21% primarily due to nondeductible stock-based compensation and foreign rate differential partially offset by federal and state research credits.</w:t>
      </w:r>
    </w:p>
    <w:p>
      <w:pPr>
        <w:spacing w:after="0" w:line="13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total revenue by geographic area based on the publisher’s billing address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0"/>
        </w:trPr>
        <w:tc>
          <w:tcPr>
            <w:tcW w:w="7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ind w:left="3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3"/>
              </w:rPr>
              <w:t>The Company’s long-lived assets, net by geographic area are summarized as follows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ind w:left="3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5"/>
        </w:trPr>
        <w:tc>
          <w:tcPr>
            <w:tcW w:w="7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the world</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401(k) Plan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no matching contribution to the 401(k) Plan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April 2021, the Company amended its Loan Agreement with Silicon Valley Bank to extend the maturity date of the revolving line of credit to June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our expectations concerning the advertising industry, and our ability to successfully navigate our business through the COVID-19 pandemic.</w:t>
      </w:r>
    </w:p>
    <w:p>
      <w:pPr>
        <w:spacing w:after="0" w:line="15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1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2020 included in our Annual Report on Form 10-K filed with the U.S. Securities and Exchange Commission (the “SEC”).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PubMatic fuels the endless potential of Internet content creators.</w:t>
      </w:r>
    </w:p>
    <w:p>
      <w:pPr>
        <w:spacing w:after="0" w:line="17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Our company provides a specialized cloud infrastructure platform that enables real-time programmatic advertising transactions. We believe that our purpose-built technology and infrastructure provides superior outcomes for both Internet content creators (publishers) and advertisers (buyers). In March 2021, our platform efficiently processed approximately 211 billion ad impressions daily, each in a fraction of a second.</w:t>
      </w:r>
    </w:p>
    <w:p>
      <w:pPr>
        <w:spacing w:after="0" w:line="1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As of March 31, 2021, we served approximately 1,250 publishers and app developers, including many of the leading digital companies such as Verizon Media Group and News Corp. We have demonstrated that we can retain and grow revenues from our publisher customers, as evidenced by our net dollar-based retention rate of 130% for the trailing twelve months ended March 31, 2021 and 112% for the twelve months ended March 31, 2020.</w:t>
      </w:r>
    </w:p>
    <w:p>
      <w:pPr>
        <w:spacing w:after="0" w:line="137"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10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help monetize valuable impressions for our clients across a wide array of ad formats and digital device types, including mobile app, mobile web, desktop, display, video, over-the-top (“OTT”), connected television (“CTV”), and rich media. As of March 31, 2021, we served approximately 1,250 publishers and app developers representing over 88,000 individual domains and apps worldwide on our platform across a diverse group of content verticals including news, eCommerce, gaming, media, weather, fashion, technology, and more.</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The tenure of each of the top ten DSP buyers on our platform at the end of March 2021 was over eight years. We also negotiate Supply Path Optimization (“SPO”) agreements with agencies and advertisers that encourage these buyers to spend a higher share of their advertising budgets on our platform by providing custom data and workflow integrations, product features, and volume-based business terms.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13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ability to efficiently add and monetize valuable impressions on our platform has led to revenue growth, profitability, and operating cash flow (GAAP net cash provided by operating activities). By focusing on valuable ad impressions, investing in our own specialized cloud software and hardware infrastructure, optimizing platform utilization, and implementing workflow automation, we have achieved strong gross margins. For the three months ended March 31, 2021 and the three months ended March 31, 2020, our gross margin was 72% and 65%, our net income margin (net income as a percentage of revenue) was 11% and 5%, our adjusted EBITDA margin (adjusted EBITDA as a percentage of revenue) was 33% and 18%, and operating cash flow margin (operating cash flows as a percentage of revenue) was 29% and 52%, respectively.</w:t>
      </w:r>
    </w:p>
    <w:p>
      <w:pPr>
        <w:spacing w:after="0" w:line="13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For the three months ended March 31, 2021 and the three months ended March 31, 2020, we derived approximately 64% and 69% of our revenue from Americas-based publishers, 26% and 21% from Europe-based publishers, Middle East and Africa-based (EMEA) publishers, and 10% and 10% from Asia-Pacific (APAC)-based publishers, respectively. We are focused on expanding outside the United States and expect to increase our proportion of revenue from non-U.S. geographies in the future. We classify publishers by geography based on the billing address of the publisher transacting with us.</w:t>
      </w:r>
    </w:p>
    <w:p>
      <w:pPr>
        <w:spacing w:after="0" w:line="10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the first quarter of 2021, mobile (including mobile video) and video (including OTT/CTV) combined comprised approximately 63% of our revenue. We anticipate mobile to continue increasing as a percentage of our total impressions and revenue in the future. We further expect video to constitute an increasingly important component of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COVID-19 pandemic has resulted, and is expected to continue to result, in a global slowdown of economic activity which is likely to decrease demand for a broad variety of goods and services, including those provided by certain of the advertisers on our platform. This situation could also potentially limit our ad buyers’ budgets or disrupt sales channels and advertising and marketing activities generally. The duration of these disruptive effects will continue for an unknown period of time until the virus is contained or economic activity normalizes. During the first quarter of 2021, revenue from a number of advertising categories returned to pre-COVID spending levels, while certain categories including travel, auto, and entertainment remain below pre-COVID spending levels. Although our revenue has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and its impact on our publishers, ad buyers, industry, and employees, all of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uncertain at this time and cannot be accurately predicted. See “Risk Factors” for further discussion of the adverse impacts of the COVID-19 pandemic on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financial highlights of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43,608</w:t>
            </w:r>
          </w:p>
        </w:tc>
        <w:tc>
          <w:tcPr>
            <w:tcW w:w="104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28,348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6,642</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4,918</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w w:val="90"/>
              </w:rPr>
              <w:t>14,494</w:t>
            </w:r>
          </w:p>
        </w:tc>
        <w:tc>
          <w:tcPr>
            <w:tcW w:w="10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5,124</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12,687</w:t>
            </w:r>
          </w:p>
        </w:tc>
        <w:tc>
          <w:tcPr>
            <w:tcW w:w="104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14,695</w:t>
            </w:r>
          </w:p>
        </w:tc>
      </w:tr>
      <w:tr>
        <w:trPr>
          <w:trHeight w:val="155"/>
        </w:trPr>
        <w:tc>
          <w:tcPr>
            <w:tcW w:w="8020" w:type="dxa"/>
            <w:vAlign w:val="bottom"/>
          </w:tcPr>
          <w:p>
            <w:pPr>
              <w:spacing w:after="0" w:line="155" w:lineRule="exact"/>
              <w:rPr>
                <w:sz w:val="20"/>
                <w:szCs w:val="20"/>
                <w:color w:val="auto"/>
              </w:rPr>
            </w:pPr>
            <w:r>
              <w:rPr>
                <w:rFonts w:ascii="Arial" w:cs="Arial" w:eastAsia="Arial" w:hAnsi="Arial"/>
                <w:sz w:val="14"/>
                <w:szCs w:val="14"/>
                <w:color w:val="auto"/>
              </w:rPr>
              <w:t>_______________</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bl>
    <w:p>
      <w:pPr>
        <w:ind w:left="340" w:right="520" w:hanging="332"/>
        <w:spacing w:after="0" w:line="255"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For a definition of Adjusted EBITDA, an explanation of our management’s use of this measure, and a reconciliation of Adjusted EBITDA to net income, see “Non-GAAP Financial Measure”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growth and financial performance are dependent on many factors, including those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access to valuable ad impressions</w:t>
      </w:r>
    </w:p>
    <w:p>
      <w:pPr>
        <w:spacing w:after="0" w:line="171"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18.5 trillion and 9.0 trillion for the three months ended March 31, 2021 and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Monetizing ad impressions for publishers and buyers</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400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valuable ad impressions that we can profitably monetize at scale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publishers and advertising spend from buyers</w:t>
      </w:r>
    </w:p>
    <w:p>
      <w:pPr>
        <w:spacing w:after="0" w:line="17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12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 month period (“Prior Period Revenue”). We then calculate the revenue from these same publishers in the current trailing twelve 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130% for the trailing twelve months ended March 31, 2021 and 112% for the twelve months ended March 31, 2020. Our growth in the period ended March 31, 2021 and 2020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spacing w:after="0" w:line="14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industry dynamics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and managing investments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17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Seasonality</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impairments of long-lived assets, interest income, and provision for income taxes.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adjusted EBITDA to net income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720" w:type="dxa"/>
            <w:vAlign w:val="bottom"/>
            <w:gridSpan w:val="4"/>
          </w:tcPr>
          <w:p>
            <w:pPr>
              <w:ind w:left="660"/>
              <w:spacing w:after="0"/>
              <w:rPr>
                <w:sz w:val="20"/>
                <w:szCs w:val="20"/>
                <w:color w:val="auto"/>
              </w:rPr>
            </w:pPr>
            <w:r>
              <w:rPr>
                <w:rFonts w:ascii="Arial" w:cs="Arial" w:eastAsia="Arial" w:hAnsi="Arial"/>
                <w:sz w:val="14"/>
                <w:szCs w:val="14"/>
                <w:b w:val="1"/>
                <w:bCs w:val="1"/>
                <w:color w:val="auto"/>
                <w:w w:val="98"/>
              </w:rPr>
              <w:t>Three Months Ended March 31,</w:t>
            </w:r>
          </w:p>
        </w:tc>
        <w:tc>
          <w:tcPr>
            <w:tcW w:w="560" w:type="dxa"/>
            <w:vAlign w:val="bottom"/>
          </w:tcPr>
          <w:p>
            <w:pPr>
              <w:spacing w:after="0"/>
              <w:rPr>
                <w:sz w:val="16"/>
                <w:szCs w:val="16"/>
                <w:color w:val="auto"/>
              </w:rPr>
            </w:pPr>
          </w:p>
        </w:tc>
      </w:tr>
      <w:tr>
        <w:trPr>
          <w:trHeight w:val="25"/>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960" w:type="dxa"/>
            <w:vAlign w:val="bottom"/>
          </w:tcPr>
          <w:p>
            <w:pPr>
              <w:spacing w:after="0"/>
              <w:rPr>
                <w:sz w:val="16"/>
                <w:szCs w:val="16"/>
                <w:color w:val="auto"/>
              </w:rPr>
            </w:pPr>
          </w:p>
        </w:tc>
        <w:tc>
          <w:tcPr>
            <w:tcW w:w="980" w:type="dxa"/>
            <w:vAlign w:val="bottom"/>
          </w:tcPr>
          <w:p>
            <w:pPr>
              <w:ind w:left="660"/>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5"/>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5"/>
        </w:trPr>
        <w:tc>
          <w:tcPr>
            <w:tcW w:w="7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9"/>
                <w:szCs w:val="19"/>
                <w:color w:val="auto"/>
              </w:rPr>
            </w:pPr>
          </w:p>
        </w:tc>
      </w:tr>
      <w:tr>
        <w:trPr>
          <w:trHeight w:val="25"/>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60"/>
        </w:trPr>
        <w:tc>
          <w:tcPr>
            <w:tcW w:w="79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4,550</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3,586</w:t>
            </w:r>
          </w:p>
        </w:tc>
      </w:tr>
      <w:tr>
        <w:trPr>
          <w:trHeight w:val="280"/>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63"/>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29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14,494</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141" w:lineRule="exact"/>
        <w:rPr>
          <w:sz w:val="20"/>
          <w:szCs w:val="20"/>
          <w:color w:val="auto"/>
        </w:rPr>
      </w:pPr>
    </w:p>
    <w:p>
      <w:pPr>
        <w:ind w:right="2480" w:firstLine="324"/>
        <w:spacing w:after="0" w:line="446" w:lineRule="auto"/>
        <w:rPr>
          <w:sz w:val="20"/>
          <w:szCs w:val="20"/>
          <w:color w:val="auto"/>
        </w:rPr>
      </w:pPr>
      <w:r>
        <w:rPr>
          <w:rFonts w:ascii="Arial" w:cs="Arial" w:eastAsia="Arial" w:hAnsi="Arial"/>
          <w:sz w:val="18"/>
          <w:szCs w:val="18"/>
          <w:color w:val="auto"/>
        </w:rPr>
        <w:t xml:space="preserve">Our revenue recognition policies are discussed in more detail under “—Critical Accounting Policies and Estimates.” </w:t>
      </w:r>
      <w:r>
        <w:rPr>
          <w:rFonts w:ascii="Arial" w:cs="Arial" w:eastAsia="Arial" w:hAnsi="Arial"/>
          <w:sz w:val="18"/>
          <w:szCs w:val="18"/>
          <w:b w:val="1"/>
          <w:bCs w:val="1"/>
          <w:i w:val="1"/>
          <w:iCs w:val="1"/>
          <w:color w:val="auto"/>
        </w:rPr>
        <w:t>Cost of Revenue</w:t>
      </w:r>
    </w:p>
    <w:p>
      <w:pPr>
        <w:ind w:right="140" w:firstLine="324"/>
        <w:spacing w:after="0" w:line="275" w:lineRule="auto"/>
        <w:rPr>
          <w:sz w:val="20"/>
          <w:szCs w:val="20"/>
          <w:color w:val="auto"/>
        </w:rPr>
      </w:pPr>
      <w:r>
        <w:rPr>
          <w:rFonts w:ascii="Arial" w:cs="Arial" w:eastAsia="Arial" w:hAnsi="Arial"/>
          <w:sz w:val="17"/>
          <w:szCs w:val="17"/>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i w:val="1"/>
          <w:iCs w:val="1"/>
          <w:color w:val="auto"/>
        </w:rPr>
        <w:t xml:space="preserve">Technology and Development. </w:t>
      </w:r>
      <w:r>
        <w:rPr>
          <w:rFonts w:ascii="Arial" w:cs="Arial" w:eastAsia="Arial" w:hAnsi="Arial"/>
          <w:sz w:val="17"/>
          <w:szCs w:val="17"/>
          <w:color w:val="auto"/>
        </w:rPr>
        <w:t>Technology and development expenses consist of personnel costs, including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employee benefits costs, allocated facilities costs, and professional services. These expenses include costs incurred in the development, implementation and maintenance of internal use software, including platform and related infrastructure. We expend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12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of personnel costs, including salaries, bonuses, stock-based compensation, and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of personnel costs, including salaries, bonuses,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intra-office travel and conferences.</w:t>
      </w:r>
    </w:p>
    <w:p>
      <w:pPr>
        <w:spacing w:after="0" w:line="146"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380"/>
        <w:spacing w:after="0" w:line="446" w:lineRule="auto"/>
        <w:rPr>
          <w:sz w:val="20"/>
          <w:szCs w:val="20"/>
          <w:color w:val="auto"/>
        </w:rPr>
      </w:pPr>
      <w:r>
        <w:rPr>
          <w:rFonts w:ascii="Arial" w:cs="Arial" w:eastAsia="Arial" w:hAnsi="Arial"/>
          <w:sz w:val="18"/>
          <w:szCs w:val="18"/>
          <w:color w:val="auto"/>
        </w:rPr>
        <w:t xml:space="preserve">required for internal controls. As a result, we expect general and administrative expenses to increase in absolute dollars in future periods. </w:t>
      </w:r>
      <w:r>
        <w:rPr>
          <w:rFonts w:ascii="Arial" w:cs="Arial" w:eastAsia="Arial" w:hAnsi="Arial"/>
          <w:sz w:val="18"/>
          <w:szCs w:val="18"/>
          <w:b w:val="1"/>
          <w:bCs w:val="1"/>
          <w:i w:val="1"/>
          <w:iCs w:val="1"/>
          <w:color w:val="auto"/>
        </w:rPr>
        <w:t>Total Other Income (expense), Net</w:t>
      </w:r>
    </w:p>
    <w:p>
      <w:pPr>
        <w:ind w:right="100" w:firstLine="324"/>
        <w:spacing w:after="0" w:line="263" w:lineRule="auto"/>
        <w:rPr>
          <w:sz w:val="20"/>
          <w:szCs w:val="20"/>
          <w:color w:val="auto"/>
        </w:rPr>
      </w:pPr>
      <w:r>
        <w:rPr>
          <w:rFonts w:ascii="Arial" w:cs="Arial" w:eastAsia="Arial" w:hAnsi="Arial"/>
          <w:sz w:val="18"/>
          <w:szCs w:val="18"/>
          <w:color w:val="auto"/>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The provision for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117"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Our effective tax rate differs from the U.S. federal statutory income tax rate due to state taxes, foreign tax rate differences, technology and development tax credits, and stock-based compensation.</w:t>
      </w:r>
    </w:p>
    <w:p>
      <w:pPr>
        <w:spacing w:after="0" w:line="130"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our condensed consolidated results of operations data and such data as a percentage of revenue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43,608</w:t>
            </w:r>
          </w:p>
        </w:tc>
        <w:tc>
          <w:tcPr>
            <w:tcW w:w="100" w:type="dxa"/>
            <w:vAlign w:val="bottom"/>
          </w:tcPr>
          <w:p>
            <w:pPr>
              <w:spacing w:after="0"/>
              <w:rPr>
                <w:sz w:val="21"/>
                <w:szCs w:val="21"/>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28,348</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12,300</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10,056</w:t>
            </w:r>
          </w:p>
        </w:tc>
      </w:tr>
      <w:tr>
        <w:trPr>
          <w:trHeight w:val="237"/>
        </w:trPr>
        <w:tc>
          <w:tcPr>
            <w:tcW w:w="802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31,308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18,292</w:t>
            </w:r>
          </w:p>
        </w:tc>
      </w:tr>
      <w:tr>
        <w:trPr>
          <w:trHeight w:val="27"/>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2,919</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12,789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4,349</w:t>
            </w:r>
          </w:p>
        </w:tc>
      </w:tr>
      <w:tr>
        <w:trPr>
          <w:trHeight w:val="27"/>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24,666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17,263</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3"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Amounts include stock-based compensation before tax benefit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6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w w:val="95"/>
              </w:rPr>
              <w:t>Three Months Ended March 31,</w:t>
            </w:r>
          </w:p>
        </w:tc>
        <w:tc>
          <w:tcPr>
            <w:tcW w:w="60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8860" w:type="dxa"/>
            <w:vAlign w:val="bottom"/>
            <w:gridSpan w:val="2"/>
          </w:tcPr>
          <w:p>
            <w:pPr>
              <w:ind w:left="8480"/>
              <w:spacing w:after="0"/>
              <w:rPr>
                <w:sz w:val="20"/>
                <w:szCs w:val="20"/>
                <w:color w:val="auto"/>
              </w:rPr>
            </w:pPr>
            <w:r>
              <w:rPr>
                <w:rFonts w:ascii="Arial" w:cs="Arial" w:eastAsia="Arial" w:hAnsi="Arial"/>
                <w:sz w:val="14"/>
                <w:szCs w:val="14"/>
                <w:b w:val="1"/>
                <w:bCs w:val="1"/>
                <w:color w:val="auto"/>
              </w:rPr>
              <w:t>2021</w:t>
            </w:r>
          </w:p>
        </w:tc>
        <w:tc>
          <w:tcPr>
            <w:tcW w:w="1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r>
      <w:tr>
        <w:trPr>
          <w:trHeight w:val="25"/>
        </w:trPr>
        <w:tc>
          <w:tcPr>
            <w:tcW w:w="7780" w:type="dxa"/>
            <w:vAlign w:val="bottom"/>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286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w w:val="90"/>
              </w:rPr>
              <w:t>(as percentage of revenue)</w:t>
            </w:r>
          </w:p>
        </w:tc>
        <w:tc>
          <w:tcPr>
            <w:tcW w:w="60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35</w:t>
            </w:r>
          </w:p>
        </w:tc>
      </w:tr>
      <w:tr>
        <w:trPr>
          <w:trHeight w:val="27"/>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3"/>
        </w:trPr>
        <w:tc>
          <w:tcPr>
            <w:tcW w:w="8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r>
      <w:tr>
        <w:trPr>
          <w:trHeight w:val="243"/>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43"/>
        </w:trPr>
        <w:tc>
          <w:tcPr>
            <w:tcW w:w="886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35</w:t>
            </w: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37"/>
        </w:trPr>
        <w:tc>
          <w:tcPr>
            <w:tcW w:w="778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w:t>
            </w:r>
          </w:p>
        </w:tc>
      </w:tr>
      <w:tr>
        <w:trPr>
          <w:trHeight w:val="27"/>
        </w:trPr>
        <w:tc>
          <w:tcPr>
            <w:tcW w:w="7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r>
      <w:tr>
        <w:trPr>
          <w:trHeight w:val="243"/>
        </w:trPr>
        <w:tc>
          <w:tcPr>
            <w:tcW w:w="886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1780" w:type="dxa"/>
            <w:vAlign w:val="bottom"/>
            <w:gridSpan w:val="3"/>
          </w:tcPr>
          <w:p>
            <w:pPr>
              <w:jc w:val="right"/>
              <w:ind w:right="14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3"/>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6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r>
      <w:tr>
        <w:trPr>
          <w:trHeight w:val="243"/>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4"/>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Cost of Revenue and Gross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ind w:right="59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43,608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28,348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21"/>
                <w:szCs w:val="21"/>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10,056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31,308</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18,292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Revenue for the three months ended March 31, 2021 increased by $15.3 million, or 54%, compared to the three months ended March 31, 2020, driven by growth in impressions processed on our platform from both existing and new publishers. For the three months ended March 31, 2021, we served approximately 1,250 publishers worldwide on our platform, which represented over 60,000 domains and 28,000 apps in total, compared to approximately 900 publishers worldwide for the three months ended March 31, 2020, which represented approximately 42,000 domains and 8,000 apps in total. For purposes of our publisher count, we aggregate multiple business accounts from separate divisions, segments or subsidiaries into a single “master” publisher based on our assessment of the related nature of the group. In addition, in the first quarter of 2021, we completed a number of SPO initiatives which increased buyer spend on our platform.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expect revenue to continue to grow in 2021 primarily due to the acceleration of mobile and omnichannel video driven by the increase in open Internet activity globally.</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Cost of revenue increased $2.2 million, primarily due to a $1.0 million increase in depreciation of data center equipment and amortization of internal use software and a $1.0 million increase in personnel costs as headcount increased by 41% in order to support our growing business. Overall, our cost of revenue per impression processed for the three months ended March 31, 2021 declined by approximately 40% compared to the three months ended March 31, 2020.</w:t>
      </w:r>
    </w:p>
    <w:p>
      <w:pPr>
        <w:spacing w:after="0" w:line="13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gross margin of 72% for the three months ended March 31, 2021 increased compared to 65% for the three months ended March 31, 2020 due to greater utilization of our platform offset by investments for capacity expansion.</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expect the cost of revenue to be higher in 2021 compared to 2020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740" w:type="dxa"/>
            <w:vAlign w:val="bottom"/>
            <w:gridSpan w:val="3"/>
          </w:tcPr>
          <w:p>
            <w:pPr>
              <w:jc w:val="center"/>
              <w:ind w:left="602"/>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3"/>
              </w:rPr>
              <w:t>3,738</w:t>
            </w:r>
          </w:p>
        </w:tc>
        <w:tc>
          <w:tcPr>
            <w:tcW w:w="1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9 %</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increase in technology and development costs was primarily due to an increase of $1.4 million in personnel costs partially offset by $0.4 million related to the capitalization of internal use software and $0.1 million for travel and entertainment due to the impact of the COVID-19 pandemic.</w:t>
      </w:r>
    </w:p>
    <w:p>
      <w:pPr>
        <w:spacing w:after="0" w:line="8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expect technology and development expenses to continue to increase in 2021 compared to 2020 in absolute dollars, primarily due to investment in technological innovation and additional headcount.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5"/>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8"/>
                <w:szCs w:val="18"/>
                <w:color w:val="auto"/>
              </w:rPr>
              <w:t>12,789</w:t>
            </w:r>
          </w:p>
        </w:tc>
        <w:tc>
          <w:tcPr>
            <w:tcW w:w="1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9,995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29 %</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Sales and marketing costs increased primarily due to a $3.4 million increase in personnel costs as headcount increased by 26%. These increased costs were partially offset by reduced spending of $0.8 million for travel and entertainment due to the impact of the COVID-19 pandemic.</w:t>
      </w:r>
    </w:p>
    <w:p>
      <w:pPr>
        <w:spacing w:after="0" w:line="10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expect sales and marketing expenses to increase in 2021 compared to 2020 in absolute dollars primarily due to additional headcount investment and marketing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740" w:type="dxa"/>
            <w:vAlign w:val="bottom"/>
            <w:gridSpan w:val="3"/>
          </w:tcPr>
          <w:p>
            <w:pPr>
              <w:jc w:val="center"/>
              <w:ind w:left="602"/>
              <w:spacing w:after="0"/>
              <w:rPr>
                <w:sz w:val="20"/>
                <w:szCs w:val="20"/>
                <w:color w:val="auto"/>
              </w:rPr>
            </w:pPr>
            <w:r>
              <w:rPr>
                <w:rFonts w:ascii="Arial" w:cs="Arial" w:eastAsia="Arial" w:hAnsi="Arial"/>
                <w:sz w:val="14"/>
                <w:szCs w:val="14"/>
                <w:b w:val="1"/>
                <w:bCs w:val="1"/>
                <w:color w:val="auto"/>
                <w:w w:val="95"/>
              </w:rPr>
              <w:t>Three Months Ended March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3"/>
              </w:rPr>
              <w:t>8,139</w:t>
            </w:r>
          </w:p>
        </w:tc>
        <w:tc>
          <w:tcPr>
            <w:tcW w:w="10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3"/>
              </w:rPr>
              <w:t>4,349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19 %</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General and administrative expense increased primarily due to a $2.2 million increase in personnel costs associated with a 12% increase in headcount and higher stock-based compensations costs, a $0.9 million increase in professional services composed primarily of legal and other consulting fee, and a $0.8 million increase for insurance expenses, partially offset by a $0.3 million decrease in bad debt expense.</w:t>
      </w:r>
    </w:p>
    <w:p>
      <w:pPr>
        <w:spacing w:after="0" w:line="1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expect general and administrative expenses to increase in 2021 compared to 2020 in absolute dollars primarily due to the additional headcount and increased costs associated with being a public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70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95"/>
              </w:rPr>
              <w:t>Three Months Ended March 31,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1"/>
              </w:rPr>
              <w:t>(dollars in thousands)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199</w:t>
            </w:r>
          </w:p>
        </w:tc>
        <w:tc>
          <w:tcPr>
            <w:tcW w:w="114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Total other income (expense), net decreased for the three months ended March 31, 2021, compared to the prior year period, as a result of lower interest rates and as a result of holding a larger portion of our excess cash in lower yielding money market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 March 31,</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6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920" w:type="dxa"/>
            <w:vAlign w:val="bottom"/>
          </w:tcPr>
          <w:p>
            <w:pPr>
              <w:jc w:val="right"/>
              <w:ind w:right="559"/>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1,923</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difference between the effective tax rate for the three months ended March 31, 2021 of 28% and the federal statutory income tax rate of 21% was primarily due to nondeductible stock-based compensation, a higher tax rate in certain foreign countries where we operate, partially offset by a deduction for foreign-sourced revenue, and federal and state research credits. The effective income tax rate was 31% for the three months ended March 31, 2020. The difference in our effective tax rate for the three months ended March 31, 2020 was primarily due to a higher tax rate in certain foreign countries where we operate.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have financed our operations and capital expenditures primarily through utilization of cash generated from operations, as well as borrowings under our credit facilities. As of March 31, 2021, we had cash, cash equivalents, and marketable securities of $110.0 million and net working capital, consisting of current assets less current liabilities, of $145.9 million. As of March 31, 2021, we had retained earnings of $47.6 million.</w:t>
      </w:r>
    </w:p>
    <w:p>
      <w:pPr>
        <w:spacing w:after="0" w:line="12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future capital requirements and the adequacy of available funds will depend on many factors, including the duration and severity of the COVID-19 pandemic and its impact on buyers and sellers and those set forth under “Risk Factors.”</w:t>
      </w:r>
    </w:p>
    <w:p>
      <w:pPr>
        <w:spacing w:after="0" w:line="13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171"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In February 2011, we entered into a Loan and Security Agreement (the “Loan Agreement”), with Silicon Valley Bank (“SVB”), which was subsequently amended at various times to provide us with additional borrowing capacity and/or flexibility.</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of March 31, 2021, the amount we can borrow under the Loan Agreement was the lesser of $45.0 million or 80% of eligible accounts receivable less certain reserves, minus the aggregate principal amount of all outstanding advances. Interest accrues on advances under the Loan Agreement at a variable rate equal to the prime rate. For any quarter where the average closing outstanding balance under the Loan Agreement is less than $5 million, a fee for such unused capacity in the amount of 0.30% per annum of the average unused portion is charged and is payable in arrears. As of March 31, 2021, the applicable interest rate under the Loan Agreement was 3.25%. In April 2021, we amended the Loan Agreement to extend its maturity date to June 6, 2021. As of March 31, 2021, there were no outstanding borrowings under the Loan Agreement.</w:t>
      </w:r>
    </w:p>
    <w:p>
      <w:pPr>
        <w:spacing w:after="0" w:line="13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Our obligations under the Loan Agreement are secured by substantially all of our assets excluding its intellectual property. The Loan Agreement contains affirmative covenants including financial covenants that, among other things, require us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us from paying dividends to stockholders without prior consent from SVB. We were in compliance with the covenants as of March 31, 2021.</w:t>
      </w:r>
    </w:p>
    <w:p>
      <w:pPr>
        <w:sectPr>
          <w:pgSz w:w="11900" w:h="16838" w:orient="portrait"/>
          <w:cols w:equalWidth="0" w:num="1">
            <w:col w:w="11240"/>
          </w:cols>
          <w:pgMar w:left="320" w:top="125" w:right="3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provided by financing activities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 and cash equivalents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20485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
        </w:trPr>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95"/>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14,695</w:t>
            </w:r>
          </w:p>
        </w:tc>
      </w:tr>
      <w:tr>
        <w:trPr>
          <w:trHeight w:val="243"/>
        </w:trPr>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14,943</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39" w:lineRule="exact"/>
        <w:rPr>
          <w:sz w:val="20"/>
          <w:szCs w:val="20"/>
          <w:color w:val="auto"/>
        </w:rPr>
      </w:pPr>
    </w:p>
    <w:p>
      <w:pPr>
        <w:sectPr>
          <w:pgSz w:w="11900" w:h="16838" w:orient="portrait"/>
          <w:cols w:equalWidth="0" w:num="2">
            <w:col w:w="7300" w:space="720"/>
            <w:col w:w="3220"/>
          </w:cols>
          <w:pgMar w:left="320" w:top="125" w:right="339" w:bottom="1440" w:gutter="0" w:footer="0" w:header="0"/>
          <w:type w:val="continuous"/>
        </w:sectPr>
      </w:pPr>
    </w:p>
    <w:p>
      <w:pPr>
        <w:ind w:right="40" w:firstLine="324"/>
        <w:spacing w:after="0" w:line="311" w:lineRule="auto"/>
        <w:rPr>
          <w:sz w:val="20"/>
          <w:szCs w:val="20"/>
          <w:color w:val="auto"/>
        </w:rPr>
      </w:pPr>
      <w:r>
        <w:rPr>
          <w:rFonts w:ascii="Arial" w:cs="Arial" w:eastAsia="Arial" w:hAnsi="Arial"/>
          <w:sz w:val="16"/>
          <w:szCs w:val="16"/>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receipts from buyers and payments to publishers can significantly impact our cash flows from operating activities. In addition, we expect seasonality to impact quarterly cash flows from operating activities.</w:t>
      </w:r>
    </w:p>
    <w:p>
      <w:pPr>
        <w:spacing w:after="0" w:line="130" w:lineRule="exact"/>
        <w:rPr>
          <w:sz w:val="20"/>
          <w:szCs w:val="20"/>
          <w:color w:val="auto"/>
        </w:rPr>
      </w:pPr>
    </w:p>
    <w:p>
      <w:pPr>
        <w:jc w:val="both"/>
        <w:ind w:right="420" w:firstLine="324"/>
        <w:spacing w:after="0" w:line="311" w:lineRule="auto"/>
        <w:rPr>
          <w:sz w:val="20"/>
          <w:szCs w:val="20"/>
          <w:color w:val="auto"/>
        </w:rPr>
      </w:pPr>
      <w:r>
        <w:rPr>
          <w:rFonts w:ascii="Arial" w:cs="Arial" w:eastAsia="Arial" w:hAnsi="Arial"/>
          <w:sz w:val="16"/>
          <w:szCs w:val="16"/>
          <w:color w:val="auto"/>
        </w:rPr>
        <w:t>For the three months ended March 31, 2021, net cash provided by operating activities of $12.7 million resulted primarily from net income of $4.9 million, adjustments for non-cash expenses of $8.0 million, including $4.6 million for depreciation and amortization and $3.2 million for stock-based compensation, and a decrease in accounts receivable of $46.4 million, partially offset by a decrease in accounts payable of $40.9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13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For the three months ended March 31, 2021, we used $16.8 million of cash in investing activities, consisting of $0.3 million in purchases of property and equipment (primarily data center infrastructure), $3.0 million of investments in capitalized internal use software and a net increase in investments of marketable securities of $13.6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the three months ended March 31, 2021, net cash used in financing activities of $0.4 million was primarily due to the payment of offering costs from our IPO in the amount $0.8 million, offset by proceeds from exercise of stock options of $0.5 million.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Future Cash Requirements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at March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1 - 3 years</w:t>
            </w: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More than 5 years</w:t>
            </w:r>
          </w:p>
        </w:tc>
        <w:tc>
          <w:tcPr>
            <w:tcW w:w="0" w:type="dxa"/>
            <w:vAlign w:val="bottom"/>
          </w:tcPr>
          <w:p>
            <w:pPr>
              <w:spacing w:after="0"/>
              <w:rPr>
                <w:sz w:val="1"/>
                <w:szCs w:val="1"/>
                <w:color w:val="auto"/>
              </w:rPr>
            </w:pPr>
          </w:p>
        </w:tc>
      </w:tr>
      <w:tr>
        <w:trPr>
          <w:trHeight w:val="25"/>
        </w:trPr>
        <w:tc>
          <w:tcPr>
            <w:tcW w:w="3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contractual obligations</w:t>
            </w:r>
            <w:r>
              <w:rPr>
                <w:rFonts w:ascii="Arial" w:cs="Arial" w:eastAsia="Arial" w:hAnsi="Arial"/>
                <w:sz w:val="23"/>
                <w:szCs w:val="23"/>
                <w:color w:val="auto"/>
                <w:vertAlign w:val="superscript"/>
              </w:rPr>
              <w:t>(1)</w:t>
            </w:r>
          </w:p>
        </w:tc>
        <w:tc>
          <w:tcPr>
            <w:tcW w:w="8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contractual obligations consist primarily of contractual obligations to third-party data center providers.</w:t>
      </w:r>
    </w:p>
    <w:p>
      <w:pPr>
        <w:spacing w:after="0" w:line="16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As of March 31, 2021, we had $3.7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Through March 31,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14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condensed consolidated financial statements. Therefore, we consider these to be our critical accounting policies and estimates. There have been no significant changes in our accounting policies from those disclosed in our audited consolidated financial statements and notes thereto for the year ended December 31, 2020 included in our Annual Report on Form 10-K.</w:t>
      </w:r>
    </w:p>
    <w:p>
      <w:pPr>
        <w:spacing w:after="0" w:line="122" w:lineRule="exact"/>
        <w:rPr>
          <w:sz w:val="20"/>
          <w:szCs w:val="20"/>
          <w:color w:val="auto"/>
        </w:rPr>
      </w:pPr>
    </w:p>
    <w:p>
      <w:pPr>
        <w:ind w:right="580" w:firstLine="324"/>
        <w:spacing w:after="0" w:line="446" w:lineRule="auto"/>
        <w:rPr>
          <w:sz w:val="20"/>
          <w:szCs w:val="20"/>
          <w:color w:val="auto"/>
        </w:rPr>
      </w:pPr>
      <w:r>
        <w:rPr>
          <w:rFonts w:ascii="Arial" w:cs="Arial" w:eastAsia="Arial" w:hAnsi="Arial"/>
          <w:sz w:val="18"/>
          <w:szCs w:val="18"/>
          <w:color w:val="auto"/>
        </w:rPr>
        <w:t xml:space="preserve">Our revenue recognition policy is further described below, which is consistent with the policy included in our Annual Report referenced above. </w:t>
      </w:r>
      <w:r>
        <w:rPr>
          <w:rFonts w:ascii="Arial" w:cs="Arial" w:eastAsia="Arial" w:hAnsi="Arial"/>
          <w:sz w:val="18"/>
          <w:szCs w:val="18"/>
          <w:b w:val="1"/>
          <w:bCs w:val="1"/>
          <w:i w:val="1"/>
          <w:iCs w:val="1"/>
          <w:color w:val="auto"/>
        </w:rPr>
        <w:t>Revenue Recognition</w:t>
      </w:r>
    </w:p>
    <w:p>
      <w:pPr>
        <w:ind w:right="80" w:firstLine="324"/>
        <w:spacing w:after="0" w:line="311" w:lineRule="auto"/>
        <w:rPr>
          <w:sz w:val="20"/>
          <w:szCs w:val="20"/>
          <w:color w:val="auto"/>
        </w:rPr>
      </w:pPr>
      <w:r>
        <w:rPr>
          <w:rFonts w:ascii="Arial" w:cs="Arial" w:eastAsia="Arial" w:hAnsi="Arial"/>
          <w:sz w:val="16"/>
          <w:szCs w:val="16"/>
          <w:color w:val="auto"/>
        </w:rPr>
        <w:t>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10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invoice buyers for publisher digital advertising inventory purchased through its platform. We recognize revenue when a bid is won and a buyer purchases inventory on our platform. We estimate and records reductions to revenue for volume discounts based on expected volumes during the incentive term.</w:t>
      </w:r>
    </w:p>
    <w:p>
      <w:pPr>
        <w:spacing w:after="0" w:line="143"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w:t>
      </w:r>
    </w:p>
    <w:p>
      <w:pPr>
        <w:spacing w:after="0" w:line="11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generally invoice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2 “Basis of Presentation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certain market risks in the ordinary course of our business. These risks primarily include: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had cash and cash equivalents of $76.6 million and marketable securities of $33.4 million as of March 31, 2021,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March 31, 2021.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$0.3 million in our operating income for the Three months ended March 31, 2021. A hypothetical 10% change in the U.S. Dollar to British Pound exchange rate could result in a change of $0.3 million in our operating income for the Three months ended March 31, 2021.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8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March 31, 2021. Based on such evaluation, our principal executive officer and principal financial officer have concluded that, as of such date, our disclosure controls and procedures were effective at a reasonable assurance level.</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March 31, 2021 that has materially affected, or is reasonably likely to materially affect, our internal control over financial reporting.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8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6, “Commitments and Contingencies,” to our condensed consolidated financial statements included elsewhere in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13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 and results of operations are highly dependent on the overall demand for advertising.</w:t>
      </w:r>
    </w:p>
    <w:p>
      <w:pPr>
        <w:spacing w:after="0" w:line="184" w:lineRule="exact"/>
        <w:rPr>
          <w:rFonts w:ascii="Arial" w:cs="Arial" w:eastAsia="Arial" w:hAnsi="Arial"/>
          <w:sz w:val="18"/>
          <w:szCs w:val="18"/>
          <w:color w:val="auto"/>
        </w:rPr>
      </w:pPr>
    </w:p>
    <w:p>
      <w:pPr>
        <w:ind w:right="240" w:firstLine="332"/>
        <w:spacing w:after="0" w:line="263"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our ability to maintain and expand access to valuable ad impressions from publishers, including our largest publishers.</w:t>
      </w:r>
    </w:p>
    <w:p>
      <w:pPr>
        <w:spacing w:after="0" w:line="207" w:lineRule="exact"/>
        <w:rPr>
          <w:rFonts w:ascii="Arial" w:cs="Arial" w:eastAsia="Arial" w:hAnsi="Arial"/>
          <w:sz w:val="16"/>
          <w:szCs w:val="16"/>
          <w:color w:val="auto"/>
        </w:rPr>
      </w:pPr>
    </w:p>
    <w:p>
      <w:pPr>
        <w:ind w:right="420"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maintain and expand access to spend from buyers, including a limited number of DSPs, agencies, and advertisers.</w:t>
      </w:r>
    </w:p>
    <w:p>
      <w:pPr>
        <w:spacing w:after="0" w:line="129" w:lineRule="exact"/>
        <w:rPr>
          <w:rFonts w:ascii="Arial" w:cs="Arial" w:eastAsia="Arial" w:hAnsi="Arial"/>
          <w:sz w:val="18"/>
          <w:szCs w:val="18"/>
          <w:color w:val="auto"/>
        </w:rPr>
      </w:pPr>
    </w:p>
    <w:p>
      <w:pPr>
        <w:ind w:right="380" w:firstLine="332"/>
        <w:spacing w:after="0" w:line="277"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use of digital advertising is rejected by consumers, through opt-in, opt-out or ad-blocking technologies or other means, it could have an adverse effect on our business, results of operations, and financial condition.</w:t>
      </w:r>
    </w:p>
    <w:p>
      <w:pPr>
        <w:spacing w:after="0" w:line="116" w:lineRule="exact"/>
        <w:rPr>
          <w:rFonts w:ascii="Arial" w:cs="Arial" w:eastAsia="Arial" w:hAnsi="Arial"/>
          <w:sz w:val="18"/>
          <w:szCs w:val="18"/>
          <w:color w:val="auto"/>
        </w:rPr>
      </w:pPr>
    </w:p>
    <w:p>
      <w:pPr>
        <w:ind w:right="360" w:firstLine="332"/>
        <w:spacing w:after="0" w:line="342" w:lineRule="auto"/>
        <w:tabs>
          <w:tab w:leader="none" w:pos="643"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83" w:lineRule="exact"/>
        <w:rPr>
          <w:rFonts w:ascii="Arial" w:cs="Arial" w:eastAsia="Arial" w:hAnsi="Arial"/>
          <w:sz w:val="16"/>
          <w:szCs w:val="16"/>
          <w:color w:val="auto"/>
        </w:rPr>
      </w:pPr>
    </w:p>
    <w:p>
      <w:pPr>
        <w:ind w:right="20" w:firstLine="332"/>
        <w:spacing w:after="0" w:line="263"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332"/>
        <w:spacing w:after="0" w:line="263"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43" w:lineRule="exact"/>
        <w:rPr>
          <w:rFonts w:ascii="Arial" w:cs="Arial" w:eastAsia="Arial" w:hAnsi="Arial"/>
          <w:sz w:val="18"/>
          <w:szCs w:val="18"/>
          <w:color w:val="auto"/>
        </w:rPr>
      </w:pPr>
    </w:p>
    <w:p>
      <w:pPr>
        <w:ind w:right="640" w:firstLine="332"/>
        <w:spacing w:after="0" w:line="308" w:lineRule="auto"/>
        <w:tabs>
          <w:tab w:leader="none" w:pos="643"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operating history makes it difficult to evaluate our business and prospects and may increase the risk associated with your investment.</w:t>
      </w:r>
    </w:p>
    <w:p>
      <w:pPr>
        <w:spacing w:after="0" w:line="196" w:lineRule="exact"/>
        <w:rPr>
          <w:rFonts w:ascii="Arial" w:cs="Arial" w:eastAsia="Arial" w:hAnsi="Arial"/>
          <w:sz w:val="17"/>
          <w:szCs w:val="17"/>
          <w:color w:val="auto"/>
        </w:rPr>
      </w:pPr>
    </w:p>
    <w:p>
      <w:pPr>
        <w:ind w:firstLine="332"/>
        <w:spacing w:after="0" w:line="27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digital advertising industry is intensely competitive, and if we do not effectively compete against current and future competitors, our business, results of operations, and financial condition could be harmed.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sales and marketing efforts may require significant investments and, in certain cases, involve long sales cycles, and may not yield the results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we seek.</w:t>
      </w:r>
    </w:p>
    <w:p>
      <w:pPr>
        <w:spacing w:after="0" w:line="156" w:lineRule="exact"/>
        <w:rPr>
          <w:rFonts w:ascii="Arial" w:cs="Arial" w:eastAsia="Arial" w:hAnsi="Arial"/>
          <w:sz w:val="16"/>
          <w:szCs w:val="16"/>
          <w:color w:val="auto"/>
        </w:rPr>
      </w:pPr>
    </w:p>
    <w:p>
      <w:pPr>
        <w:ind w:right="440" w:firstLine="332"/>
        <w:spacing w:after="0" w:line="27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do not manage our growth effectively, the quality of our platform and solutions may suffer, and our business, results of operations, and financial condition may be adversely affected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pressure may reduce our revenue per impression.</w:t>
      </w:r>
    </w:p>
    <w:p>
      <w:pPr>
        <w:spacing w:after="0" w:line="184"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publishers, buyers, and data providers do not obtain necessary and requisite consents from consumers for us to process their personal data, we could be subject to fines and liability.</w:t>
      </w:r>
    </w:p>
    <w:p>
      <w:pPr>
        <w:spacing w:after="0" w:line="116" w:lineRule="exact"/>
        <w:rPr>
          <w:rFonts w:ascii="Arial" w:cs="Arial" w:eastAsia="Arial" w:hAnsi="Arial"/>
          <w:sz w:val="18"/>
          <w:szCs w:val="18"/>
          <w:color w:val="auto"/>
        </w:rPr>
      </w:pPr>
    </w:p>
    <w:p>
      <w:pPr>
        <w:ind w:right="340" w:firstLine="332"/>
        <w:spacing w:after="0" w:line="263"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laws and regulations related to data privacy, data protection, information security, and consumer protection across different markets where we conduct our business, including in the United States and Europe, and industry requirements and such laws, regulations, and industry requirements are constantly evolving and changing.</w:t>
      </w:r>
    </w:p>
    <w:p>
      <w:pPr>
        <w:spacing w:after="0" w:line="143" w:lineRule="exact"/>
        <w:rPr>
          <w:rFonts w:ascii="Arial" w:cs="Arial" w:eastAsia="Arial" w:hAnsi="Arial"/>
          <w:sz w:val="18"/>
          <w:szCs w:val="18"/>
          <w:color w:val="auto"/>
        </w:rPr>
      </w:pPr>
    </w:p>
    <w:p>
      <w:pPr>
        <w:ind w:right="500" w:firstLine="332"/>
        <w:spacing w:after="0" w:line="27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fluctuations or market changes in digital advertising activity could adversely affect our business, results of operations, or financial condition.</w:t>
      </w:r>
    </w:p>
    <w:p>
      <w:pPr>
        <w:spacing w:after="0" w:line="129" w:lineRule="exact"/>
        <w:rPr>
          <w:rFonts w:ascii="Arial" w:cs="Arial" w:eastAsia="Arial" w:hAnsi="Arial"/>
          <w:sz w:val="18"/>
          <w:szCs w:val="18"/>
          <w:color w:val="auto"/>
        </w:rPr>
      </w:pPr>
    </w:p>
    <w:p>
      <w:pPr>
        <w:ind w:right="360" w:firstLine="332"/>
        <w:spacing w:after="0" w:line="27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16" w:lineRule="exact"/>
        <w:rPr>
          <w:rFonts w:ascii="Arial" w:cs="Arial" w:eastAsia="Arial" w:hAnsi="Arial"/>
          <w:sz w:val="18"/>
          <w:szCs w:val="18"/>
          <w:color w:val="auto"/>
        </w:rPr>
      </w:pPr>
    </w:p>
    <w:p>
      <w:pPr>
        <w:ind w:right="360" w:firstLine="332"/>
        <w:spacing w:after="0" w:line="263"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payment-related risks if DSPs dispute or do not pay their invoices, and any decreases in payments or in our overall take rate could have a material adverse effect on our business, results of operations, and financial condition. These risks may be heightened as a result of the COVID-19 pandemic and resulting economic downturn.</w:t>
      </w:r>
    </w:p>
    <w:p>
      <w:pPr>
        <w:spacing w:after="0" w:line="143" w:lineRule="exact"/>
        <w:rPr>
          <w:rFonts w:ascii="Arial" w:cs="Arial" w:eastAsia="Arial" w:hAnsi="Arial"/>
          <w:sz w:val="18"/>
          <w:szCs w:val="18"/>
          <w:color w:val="auto"/>
        </w:rPr>
      </w:pPr>
    </w:p>
    <w:p>
      <w:pPr>
        <w:ind w:right="20" w:firstLine="332"/>
        <w:spacing w:after="0" w:line="277" w:lineRule="auto"/>
        <w:tabs>
          <w:tab w:leader="none" w:pos="68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and reliance upon technology and development resources in India may expose us to unanticipated costs and liabilities, which could affect our ability to realize cost savings from our technology operations in India.</w:t>
      </w:r>
    </w:p>
    <w:p>
      <w:pPr>
        <w:spacing w:after="0" w:line="129" w:lineRule="exact"/>
        <w:rPr>
          <w:rFonts w:ascii="Arial" w:cs="Arial" w:eastAsia="Arial" w:hAnsi="Arial"/>
          <w:sz w:val="18"/>
          <w:szCs w:val="18"/>
          <w:color w:val="auto"/>
        </w:rPr>
      </w:pPr>
    </w:p>
    <w:p>
      <w:pPr>
        <w:ind w:right="820" w:firstLine="332"/>
        <w:spacing w:after="0" w:line="27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mobile devices or their operating systems and Internet browsers develop in ways that prevent advertisements from being delivered to consumers, our business, results of operations, and financial condition generally, will be adversely affected.</w:t>
      </w:r>
    </w:p>
    <w:p>
      <w:pPr>
        <w:spacing w:after="0" w:line="116" w:lineRule="exact"/>
        <w:rPr>
          <w:rFonts w:ascii="Arial" w:cs="Arial" w:eastAsia="Arial" w:hAnsi="Arial"/>
          <w:sz w:val="18"/>
          <w:szCs w:val="18"/>
          <w:color w:val="auto"/>
        </w:rPr>
      </w:pPr>
    </w:p>
    <w:p>
      <w:pPr>
        <w:ind w:right="600" w:firstLine="332"/>
        <w:spacing w:after="0" w:line="277"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CTV develops in ways that prevent advertisements from being delivered to consumers, our business, results of operations, and financial condition may be adversely affected.</w:t>
      </w:r>
    </w:p>
    <w:p>
      <w:pPr>
        <w:spacing w:after="0" w:line="129" w:lineRule="exact"/>
        <w:rPr>
          <w:rFonts w:ascii="Arial" w:cs="Arial" w:eastAsia="Arial" w:hAnsi="Arial"/>
          <w:sz w:val="18"/>
          <w:szCs w:val="18"/>
          <w:color w:val="auto"/>
        </w:rPr>
      </w:pPr>
    </w:p>
    <w:p>
      <w:pPr>
        <w:ind w:right="100" w:firstLine="332"/>
        <w:spacing w:after="0" w:line="263" w:lineRule="auto"/>
        <w:tabs>
          <w:tab w:leader="none" w:pos="64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publishers, buyers, and partners to abide by contractual requirements and relevant laws, rules, and regulations when using our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platform, and legal claims or enforcement actions resulting from their actions could expose us to liabilities, damage our reputation, and be costly to defend.</w:t>
      </w:r>
    </w:p>
    <w:p>
      <w:pPr>
        <w:spacing w:after="0" w:line="193" w:lineRule="exact"/>
        <w:rPr>
          <w:rFonts w:ascii="Arial" w:cs="Arial" w:eastAsia="Arial" w:hAnsi="Arial"/>
          <w:sz w:val="17"/>
          <w:szCs w:val="17"/>
          <w:color w:val="auto"/>
        </w:rPr>
      </w:pPr>
    </w:p>
    <w:p>
      <w:pPr>
        <w:ind w:right="240" w:firstLine="332"/>
        <w:spacing w:after="0" w:line="277"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116" w:lineRule="exact"/>
        <w:rPr>
          <w:rFonts w:ascii="Arial" w:cs="Arial" w:eastAsia="Arial" w:hAnsi="Arial"/>
          <w:sz w:val="18"/>
          <w:szCs w:val="18"/>
          <w:color w:val="auto"/>
        </w:rPr>
      </w:pPr>
    </w:p>
    <w:p>
      <w:pPr>
        <w:ind w:right="380" w:firstLine="332"/>
        <w:spacing w:after="0" w:line="342" w:lineRule="auto"/>
        <w:tabs>
          <w:tab w:leader="none" w:pos="64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83" w:lineRule="exact"/>
        <w:rPr>
          <w:rFonts w:ascii="Arial" w:cs="Arial" w:eastAsia="Arial" w:hAnsi="Arial"/>
          <w:sz w:val="16"/>
          <w:szCs w:val="16"/>
          <w:color w:val="auto"/>
        </w:rPr>
      </w:pPr>
    </w:p>
    <w:p>
      <w:pPr>
        <w:ind w:right="180" w:firstLine="332"/>
        <w:spacing w:after="0" w:line="277" w:lineRule="auto"/>
        <w:tabs>
          <w:tab w:leader="none" w:pos="643"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in the public markets, or the perception that they might occur, could cause the market price of our Class A common stock to decline.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charter documents and Delaware law could discourage takeover attempts and other corporate governance changes.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75"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 Factors that affect the amount of advertising spending, such as economic downturns and the COVID-19 pandemic, can make it difficult to predict our revenue and could adversely affect our business, results of operations, and financial condition.</w:t>
      </w:r>
    </w:p>
    <w:p>
      <w:pPr>
        <w:spacing w:after="0" w:line="13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Various macroeconomic factors could cause advertisers to reduce their advertising budgets, including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w:t>
      </w:r>
    </w:p>
    <w:p>
      <w:pPr>
        <w:spacing w:after="0" w:line="13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depend upon our buyer and publisher relationships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adversely affecting our business, results of operations, and financial condition.</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ability to maintain and expand access to valuable ad impressions from publishers, including our largest publishers.</w:t>
      </w:r>
    </w:p>
    <w:p>
      <w:pPr>
        <w:spacing w:after="0" w:line="19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business depends on our access to valuable ad impressions. We depend upon publishers, including channel partners, which aggregate large numbers of smaller publishers, to provide advertising space which we can offer to prospective buyers. 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three months ended March 31, 2021 and 2020, 20% and 24%, respectively, of our revenue was derived from ad impressions sold on our platform from our largest publisher, Verizon Media Group. Our agreement with Verizon Media Group, signed in 2015, automatically renews each year for successive one-year terms unless either party provides 30 days’ prior written notice. Either party may also terminate for convenience immediately upon written notice. We expect to depend upon a relatively small number of premium publishers and channel partners for the foreseeable future. To support our continued growth, we will seek to add additional publishers to our platform, and to expand current utilization with our existing publishers.</w:t>
      </w:r>
    </w:p>
    <w:p>
      <w:pPr>
        <w:spacing w:after="0" w:line="12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no minimum commitments from publishers, so the amount, quality, and cost of ad impressions available to us can change at any time, and we cannot assure you that we will have access to a consistent volume or quality of ad impressions at a reasonable cost, or at all. For example, in January 2020, MoPub disabled all access to traffic from Grindr due to a European consumer advocacy group filing a complaints against it for alleged violations of the GDPR, which resulted in a pause of all monetization on Grindr for nearly two months and reduced the number of ad impressions available on our platform.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15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maintain and expand access to spend from buyers, including a limited number of DSPs, agencies, and advertisers.</w:t>
      </w:r>
    </w:p>
    <w:p>
      <w:pPr>
        <w:spacing w:after="0" w:line="11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business depends on our ability to maintain and expand our access to ad campaigns and spending from buyers such as DSPs, as well as agencies and advertisers (which execute their purchases through DSPs), to purchase advertising impressions from our publishers. A limited number of large DSPs – The Trade Desk and Google DV360 in particular – account for a significant portion of the ad impressions purchased on our platform. Our agreements with each of The Trade Desk and Google LLC, originally signed in 2011 and 2012, respectively, automatically renew each year for successive one-year terms unless, in the case of our agreement with Google LLC, either party provides at least 60 days’ prior written notice. In addition, either party may terminate for convenience upon providing at least 30 days’ prior written notice. We expect to depend upon these DSPs for a large percentage of impressions purchased for the foreseeable future. Any disruptions in our relationships with DSPs, agencies or advertisers could harm our business, results of operations, and financial condition. To support our continued growth, we will seek to expand upon current levels of utilization with these DSPs, agencies, and advertisers.</w:t>
      </w:r>
    </w:p>
    <w:p>
      <w:pPr>
        <w:spacing w:after="0" w:line="1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or at all.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Additionally, if we overestimate future usage, we may incur additional expenses in adding infrastructure without a commensurate increase in revenue,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use of digital advertising is rejected by consumers, through opt-in, opt-out or ad-blocking technologies or other means, it could have an adverse effect on our business, results of operations, and financial condition.</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For example, Apple recently announced its intention to move to “opt-in” privacy models, requiring users to voluntarily choose to receive targeted ads, which may reduce the value of ad impressions on its iOS mobile application platform. Many applications and other devices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12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Some consumers also download free or paid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our business, results of operations, and financial condition could be adversely affected. Ad-blocking technologies could have an adverse effect on our business, results of operations, and financial condition if they reduce the volume or effectiveness and value of advertising.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may fluctuate significantly and may not meet our expectations or those of securities analysts and investors.</w:t>
      </w:r>
    </w:p>
    <w:p>
      <w:pPr>
        <w:spacing w:after="0" w:line="18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results of operations have fluctuated in the past, and future results of operations are likely to fluctuate as well. In addition, because our business is evolving, our historical results of operations may be of limited utility in assessing our future prospects. Factors that can cause our results of operations to fluctuate include:</w:t>
      </w:r>
    </w:p>
    <w:p>
      <w:pPr>
        <w:spacing w:after="0" w:line="14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and pricing for ad impressions sold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access to valuable ad impressions from publishers;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 or loss of publishers on our platform, and costs associated with adding or attempting to retain them;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structure of the buying and selling of ad impressions;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of third-party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and uncertainty in our legislative, regulatory, and industry environment, particularly in the areas of data protection and consumer privacy;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technologies or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unilateral actions taken by DSPs, agencies, advertisers, or publishers;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capital expenditures as we acquire hardware, technologies, and other assets for our business.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You should not rely on our past results as an indicator of our future performance.</w:t>
      </w:r>
    </w:p>
    <w:p>
      <w:pPr>
        <w:spacing w:after="0" w:line="13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103"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12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2020, the World Health Organization characterized COVID-19 as a pandemic. Since then, the COVID-19 pandemic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 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We continue to monitor our operations, the operations of publishers, DSPs, and agencies, as well as government recommendations as the pandemic continues to impact the U.S. and global economy.</w:t>
      </w:r>
    </w:p>
    <w:p>
      <w:pPr>
        <w:spacing w:after="0" w:line="14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financial condition. As a company with employees, customers, partners, and investors across the globe, we believe in upholding our company value of being good people by doing our part to help slow the spread of the virus. To this end, we are temporarily requiring most employees to work remotely, have suspended all non-essential travel worldwide for our employees, are canceling or postponing company-sponsored events, and are discouraging employee attendance at industry events and in-person work-related meetings. We have also downsized our offices in the Bay Area as we expect greater numbers of our employees to work remotely in the short-term future, reducing our operating costs. Although we continue to monitor the situation and may adjust our current policies as more information and guidance become available, temporarily suspending travel and doing business in-person could negatively impact our marketing efforts, lengthen sales cycles and result in an increase in certain prospective and current customers seeking lower prices or other more favorable contract terms, slow down our recruiting efforts, or create operational or other challenges due to a fully-remote workforce, any of which could adversely affect our business, results of operations, and financial condition.</w:t>
      </w:r>
    </w:p>
    <w:p>
      <w:pPr>
        <w:spacing w:after="0" w:line="14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 recession, depression, or other sustained adverse market events resulting from the spread of COVID-19 could adversely affect our business, results of operations, and financial condition, as well as the value of our common stock. 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w:t>
      </w:r>
    </w:p>
    <w:p>
      <w:pPr>
        <w:spacing w:after="0" w:line="124"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9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choose to provide us with their proprietary data about consumers.</w:t>
      </w:r>
    </w:p>
    <w:p>
      <w:pPr>
        <w:spacing w:after="0" w:line="12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There are many technical challenges relating to our ability to collect, aggregate and associate the data, and we cannot assure you that we will be able to do so effectively.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w:t>
      </w:r>
    </w:p>
    <w:p>
      <w:pPr>
        <w:spacing w:after="0" w:line="14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Any limitations on this ability could impair our ability to deliver effective solutions,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spacing w:after="0" w:line="70"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6"/>
          <w:szCs w:val="16"/>
          <w:color w:val="auto"/>
        </w:rPr>
        <w:t>We use “cookies,” or small text files placed on consumer devices when an Internet browser is used, as well as mobile device identifiers, to gather data that enables our platform to be more effective. Our cookies and mobile device IDs do not identify consumers directly, but record information such as when a consumer views or clicks on an advertisement, when a consumer uses a mobile app, the consumer’s location, and browser or other device information.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Publishers and partners may also choose to share their information about consumers’ interests or give us permission to use their cookies and mobile device IDs. We use data from cookies, mobile device IDs, and other tracking technologies to help advertisers decide whether to bid on, and how to price, an ad impression in a certain location, at a given time, for a particular consumer. Without cookies, mobile device IDs, and other tracking technology data, transactions processed through our platform would be executed with less insight into consumer activity, reducing the precision of advertisers' decisions about which impressions to purchase for an advertising campaign. This could make placement of advertising through our platform less valuable, and harm our revenue. If our ability to use cookies, mobile device IDs or other tracking technologies is limited, we may be required to develop or obtain additional applications and technologies to compensate for the lack of cookies, mobile device IDs and other tracking technology data, which could be time consuming or costly to develop, less effective, and subject to additional regulation.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history makes it difficult to evaluate our business and prospects and may increase the risk associated with your investment.</w:t>
      </w:r>
    </w:p>
    <w:p>
      <w:pPr>
        <w:spacing w:after="0" w:line="19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operate in an evolving industry with ever-changing customer needs, and, as a result, our business has evolved over time such that our operating history makes it difficult to evaluate our business and future prospects. Although we have experienced substantial revenue growth, we may not be able to sustain this growth rate, current revenue levels or profitability. We expect to face challenges, risks, and difficulties frequently experienced by growing companies in rapidly developing industries, including those relating to:</w:t>
      </w:r>
    </w:p>
    <w:p>
      <w:pPr>
        <w:spacing w:after="0" w:line="1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DSPs, agencies, and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innovating and developing new solutions that are adopted by and meet the needs of publishers, DSPs, agencies, and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disruption and technological changes driven by the COVID-19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expanding our business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managing expenses as we invest in our infrastructure and platform technology to scale our business and operate as a public company; and</w:t>
      </w:r>
    </w:p>
    <w:p>
      <w:pPr>
        <w:spacing w:after="0" w:line="182"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we are not successful in addressing these and other issues, our business may suffer, our revenue may decline and we may not be able to achieve further growth or sustain profitability.</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harmed.</w:t>
      </w:r>
    </w:p>
    <w:p>
      <w:pPr>
        <w:spacing w:after="0" w:line="116"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1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competitors are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may experience less demand for the ad impressions processed on our platform, which could adversely affect our business, results of operations, and financial condition.</w:t>
      </w:r>
    </w:p>
    <w:p>
      <w:pPr>
        <w:spacing w:after="0" w:line="11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1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 In such event,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sales and marketing efforts may require significant investments and, in certain cases, involve long sales cycles, and may not yield the results we seek.</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sales and marketing teams educate prospective publishers and buyers about the use, technical capabilities, and benefits of our platform. Our sales cycle, from initial contact to contract execution and implementation, can take significant time with certain buyers, including agencies. We are often required to explain how our platform can optimize the value of a premium publisher’s ad impressions or how a DSP can discover valuable ad impressions. We may spend substantial time and resources prospecting for new business or responding to requests for proposals from potential publishers and buyers, and it may not result in revenue. Following contract execution and implementation, ongoing sales cycles and account management can take significant time. We are often required to explain how an additional platform integration can enhance incremental demand or engage multiple trading teams within an advertising agency to source ad campaigns and create additional demand. We may not succeed in attracting new publishers despite our significant investment in our business development, sales and marketing organizations, and it is difficult to predict when new publishers will begin generating revenue through our platform, and the extent of that revenue. We may not succeed in expanding relationships with existing publishers and buyers, despite our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investment in our sales, account management, and marketing organizations, and it is difficult to predict when additional products will generate revenue through our platform, and the extent of that revenue.</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manage our growth effectively, the quality of our platform and solutions may suffer, and our business, results of operations, and financial condition may be adversely affected.</w:t>
      </w:r>
    </w:p>
    <w:p>
      <w:pPr>
        <w:spacing w:after="0" w:line="116"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continued growth in our business may place demands on our infrastructure and our operational, managerial, administrative, and financial resources. Our success will depend on the ability of our management to manage growth effectively. Among other things, this will require us at various times to:</w:t>
      </w:r>
    </w:p>
    <w:p>
      <w:pPr>
        <w:spacing w:after="0" w:line="1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strategically invest in the development and enhancement of our platform and data center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coordination among our engineering, product, operations, and other support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multiple relationships with various partners, customers, and other third parties;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our operating, administrative, legal, financial, and accounting systems and controls;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 hire, train, and retain personnel.</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If we do not manage our growth well, the efficacy and performance of our platform may suffer, which could harm our reputation and reduce demand for our platform and solutions. Failure to manage future growth effectively could harm our business and have an adverse effect on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 may reduce our revenue per impression.</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revenue may be affected by market changes, new demands by publishers and buyers, new solutions, and competitive pressure. Our solutions may be priced too high or too low, either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or financial condition.</w:t>
      </w:r>
    </w:p>
    <w:p>
      <w:pPr>
        <w:spacing w:after="0" w:line="14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addition, although header bidding is well-established, some of our other, newer products such as OpenWrap and Audience Encore utilize different pricing approaches, and we do not know whether our current or potential customers or the market in general will continue to accept such approaches going forward. Any failure for our pricing approaches to gain acceptance could adversely affect our business, results of operations, and financial condition.</w:t>
      </w:r>
    </w:p>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11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may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 that could adversely affect our business, results of operations, and financial condition.</w:t>
      </w:r>
    </w:p>
    <w:p>
      <w:pPr>
        <w:spacing w:after="0" w:line="13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For example, in May 2020, we terminated a publisher for sending traffic that was part of the Icebucket spoofing scheme, where cybercriminals sent traffic mimicking connected TVs to fraudulently take CTV advertising dollars. During the investigative phase, we terminated the publisher which was reportedly a major vector for this particular spoofing attack. Although we continuously assess the quality and performance of advertising on publishers’ digital media properties, it may be difficult to detect fraudulent or malicious activity, and we rely on our own and third-party tools, as well as the controls of publishers.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from publishers. Even if we are not directly involved in fraud or malicious activity, any sustained failures of others in our industry to adequately detect and prevent fraud could generate the perception that programmatic trading is unsafe and lead our publishers to avoid programmatic advertising.</w:t>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Prominent technology companies have announced plans to replace cookies with alternative mechanisms, and if cookies are discontinued in favor of proprietary tracking mechanisms, our costs to develop alternatives could increase.</w:t>
      </w:r>
    </w:p>
    <w:p>
      <w:pPr>
        <w:spacing w:after="0" w:line="116"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Some prominent technology companies, including Google, have announced intentions to discontinue the use of cookies, and to develop alternative methods and mechanisms for tracking consumers. For example, in January 2020, Google announced its intention to limit the use of third-party cookies potentially starting in 2022 in its Chrome web browser.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For example, in March 2021, Google announced its intention to limit the use of alternate user-level identifiers and browsing history in its own ad platforms and products.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subject to laws and regulations related to data privacy, data protection, and information security, and consumer protection across different markets where we conduct our business, including in the United States and Europe and industry requirements and such laws, regulations, and industry requirements are constantly evolving and changing. Our actual or perceived failure to comply with such obligations could have an adverse effect on our business, results of operations, and financial condition.</w:t>
      </w:r>
    </w:p>
    <w:p>
      <w:pPr>
        <w:spacing w:after="0" w:line="13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14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as well as have an adverse effect on our business, results of operations, and financial condition.</w:t>
      </w:r>
    </w:p>
    <w:p>
      <w:pPr>
        <w:spacing w:after="0" w:line="12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For example, in January 2020, Google announced that at some point in the following 24 months the Chrome browser will block third-party cookies.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151"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117" w:lineRule="exact"/>
        <w:rPr>
          <w:sz w:val="20"/>
          <w:szCs w:val="20"/>
          <w:color w:val="auto"/>
        </w:rPr>
      </w:pPr>
    </w:p>
    <w:p>
      <w:pPr>
        <w:jc w:val="both"/>
        <w:ind w:right="400" w:firstLine="324"/>
        <w:spacing w:after="0" w:line="311" w:lineRule="auto"/>
        <w:rPr>
          <w:sz w:val="20"/>
          <w:szCs w:val="20"/>
          <w:color w:val="auto"/>
        </w:rPr>
      </w:pPr>
      <w:r>
        <w:rPr>
          <w:rFonts w:ascii="Arial" w:cs="Arial" w:eastAsia="Arial" w:hAnsi="Arial"/>
          <w:sz w:val="16"/>
          <w:szCs w:val="16"/>
          <w:color w:val="auto"/>
        </w:rPr>
        <w:t>California recently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12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Additionally, a recent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As voted into law by California residents in November 2020, the CPRA could have an adverse effect on our business, results of operations, and financial condition.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3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CCPA has encouraged “copycat” laws and in other states across the country, such as in Nevada, New Hampshire, Illinois, and Nebraska.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We cannot yet fully predict the impact of the CDPA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2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4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 In addition, some countries are considering or have passed legislation implementing data protection requirements or requiring local storage and processing of data or similar requirements that could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cost and complexity of delivering our services, including Brazil’s General Data Protection law and Thailand’s Personal Data Protection Act.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152"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13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retain key members of our management team, and on our ability to hire, train, retain, and motivate new employees.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We do not maintain key-person insurance on any of our employees. Some of our key employees may receive significant proceeds from sales of our common stock, which may reduce their motivation to continue to work for us. As a result, we may be unable to retain them, which could make it difficult to operate our business, cause us to lose expertise or know-how, and increase our recruitment and training costs.</w:t>
      </w:r>
    </w:p>
    <w:p>
      <w:pPr>
        <w:spacing w:after="0" w:line="1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success also depends on our ability to hire, train, retain, and motivate new employees.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Seasonal fluctuations or market changes in digital advertising activity could adversely affect our business, results of operations, or financial condition.</w:t>
      </w:r>
    </w:p>
    <w:p>
      <w:pPr>
        <w:spacing w:after="0" w:line="20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generate all of our revenue directly or indirectly from the purchase and sale of digital ad impressions processed on our platform. 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or economic uncertainty may cause advertisers to decrease purchases of digital ad impressions, adversely affecting our revenue and results of operations. For example, if the walled gardens of Google and Facebook become the preferred destinations for advertisers, lower demand for ad impressions processed on our platform could cause publishers to reduce their use of our platform or to cease using it altogether. A decline in the market for programmatic advertising or the failure of that market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grow as expected could also adversely affect our business, results of operations, and financial condition. Any decline in the volume or perceived quality of the ad impressions available on our platform could further reduce demand. Any such developments could have a material adverse effect on our business, results of operations, and financial condition.</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16"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payment-related risks if DSPs dispute or do not pay their invoices, and any decreases in payments or in our overall take rate could have a material adverse effect on our business, results of operations, and financial condition. These risks mays be heightened as a result of the COVID-19 pandemic and resulting economic downturn.</w:t>
      </w:r>
    </w:p>
    <w:p>
      <w:pPr>
        <w:spacing w:after="0" w:line="13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have been exacerbated by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14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a prolonged economic downturn, as a result of the COVID-19 pandemic or otherwise, may lead additional buyers to slow or default on payments or in some cases seek bankruptcy protection. We cannot assure you that we will not experience bad debt in the future, and write-offs for bad debt could have an adverse effect on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5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Moreover, a majority of our advertising spend comes from buyers purchasing advertising inventory programmatically on our platform through their DSPs. We experience requests from publishers and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the value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the price of our Class A common stock could be adversely affected if we cannot maintain and grow our revenue and profitability through volume increases that compensate for any price reductions, or if we are forced to make significant fee concessions, rebates, or refunds, or if buyers reduce spending with us, or publishers reduce inventory available through our exchange due to fee disputes or pricing issues.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additional costs and risks, and may not yield returns, and our continued international expansion may not be successful.</w:t>
      </w:r>
    </w:p>
    <w:p>
      <w:pPr>
        <w:spacing w:after="0" w:line="11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and cost associated with maintaining effective controls at foreign locations;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adapting our platform and solutions to non-U.S. publishers’ preferences and customs;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enforcing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anti-bribery laws, such as the U.S. Foreign Corrupt Practices Act and the U.K. Anti-Bribery Act 2010, by us, our employees, and our business partners;</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export and import control and economic sanctions, laws and regulations, such as those administered by the U.S. Office of Foreign Assets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foreign data privacy laws, such as the EU ePrivacy Directive and GDPR;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transfers of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 and foreign exchange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 where we conduct business, potential double taxation of our international earnings, and potentially adverse tax consequences due to changes in applicable U.S. and foreign tax laws;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complexity and potential adverse consequences of U.S. tax laws as they relate to our international operations.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 The expansion of our existing international operations and entry into additional international markets will require significant management attention and financial resources. Our failure to manage these risks successfully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use and reliance upon technology and development resources in India may expose us to unanticipated costs and liabilities, which could affect our ability to realize cost savings from our technology operations in India.</w:t>
      </w:r>
    </w:p>
    <w:p>
      <w:pPr>
        <w:spacing w:after="0" w:line="116"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w:t>
      </w:r>
    </w:p>
    <w:p>
      <w:pPr>
        <w:spacing w:after="0" w:line="14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difficulty hiring and retaining engineering and management resources due to intense competition for such resources and resulting wage inflation;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exposure to changes in economic, security, and political conditions in India;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the COVID-19 pandemic on general health and economic conditions in India;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might need to resort to litigation to protect our trade secrets and confidential information. The experience and capabilities of Indian courts in handling intellectual property litigation vary, and outcomes are unpredictable. Further, such litigation may require significant expenditure of cash and management efforts and could harm our business, financial condition, and results of operations. An adverse determination in any such litigation will impair our intellectual property rights and may harm our business, results of operations, and financial condition.</w:t>
      </w:r>
    </w:p>
    <w:p>
      <w:pPr>
        <w:spacing w:after="0" w:line="13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must provide value to both publishers and buyers of advertising without being perceived as favoring one over the other or being perceived as competing with them through our service offerings.</w:t>
      </w:r>
    </w:p>
    <w:p>
      <w:pPr>
        <w:spacing w:after="0" w:line="11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provide a platform that intermediates between publishers seeking to sell advertising space and buyers seeking to purchase that space. Although only the publishers are our direct customers and represent nearly all of our revenue, we believe we have strong relationships with the DSPs, agencies, and advertisers that purchase advertisements through our programmatic bidding and other solutions. Our ability to provide quality impressions with price transparency and competitive pricing to both publishers and buyers is critical to our ability to succeed, and if we were to be perceived as favoring one side of the transaction to the detriment of the other, or presenting a competitive challenge to their own businesses, demand for our platform from publishers or buyers would decrease and our business, results of operations, and financial condition would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third-party data centers, the disruption of which could adversely affect our business, results of operations, and financial condition.</w:t>
      </w:r>
    </w:p>
    <w:p>
      <w:pPr>
        <w:spacing w:after="0" w:line="19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acquired, we may be required to transfer our servers and other infrastructure to new data center facilities, and we may incur significant costs and possible service interruption in connection with doing so.</w:t>
      </w:r>
    </w:p>
    <w:p>
      <w:pPr>
        <w:spacing w:after="0" w:line="13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14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ongoing effects of the COVID-19 pandemic, or 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5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Platform outages or disruptions, including any interruptions due to cyberattacks or to our failure to maintain adequate security and supporting infrastructure as we scale, could damage our reputation and our business, results of operations, and financial condition.</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which could seriously harm our reputation and business. 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Incidents like this can give rise to a variety of losses and costs, including legal exposure, and regulatory fines, damages to deputation, amongst others.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our business, results of operations, and financial condition.</w:t>
      </w:r>
    </w:p>
    <w:p>
      <w:pPr>
        <w:spacing w:after="0" w:line="12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Maintaining the security and availability of our platform, network, and internal IT systems and the security of information we hold on behalf of our customers is a critical issue for us and our customers. Attacks on our customers and our own network are frequent and take a variety of forms, including DDoS attacks, infrastructure attacks, botnets, malicious file attacks, cross-site scripting, credential abuse, ransomware, bugs, viruses, worms, and malicious software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11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In such an event, we may be required or choose to expend additional resources to help mitigate any problems resulting from defects, errors and failures in our software.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4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11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pass on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12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uncertainty and may require us to change our EU data practices and/or rely on an alternative legally sufficient compliance measure.</w:t>
      </w:r>
    </w:p>
    <w:p>
      <w:pPr>
        <w:spacing w:after="0" w:line="19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spacing w:after="0" w:line="14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It remains unclear whether SCCs can cover our use of cookies and other tracking technologies placed directly on consumer’s browsers or devices through our publishers or buyers’ websites.</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in order to ensure the continuing flow of data to and from the United Kingdom subsidiary. We would likely need to restructure our transfers of European data via another European subsidiary and have such entity enter into the SCCs with other group entities and implement “supplementary measures” to ensure the continuing flow of data from the European Union to the United States. In the event that use of the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141"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If mobile devices or their operating systems and Internet browsers develop in ways that prevent advertisements from being delivered to consumers, our header bidding business, as well as our business, results of operations, and financial condition generally, will be adversely affected.</w:t>
      </w:r>
    </w:p>
    <w:p>
      <w:pPr>
        <w:spacing w:after="0" w:line="4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success in the mobile channel depends upon the ability of our platform to provide advertising for mobile connected devices, the major operating systems or Internet browsers that run on them, and the thousands of applications that are downloaded onto them. The design of mobile devices and operating systems or browsers is controlled by third parties that may also introduce new devices and operating systems or modify existing ones, and network carriers may affect our ability to access specified content on mobile devices. For example, Apple recently announced its intent to eliminate the Identifier for Advertisers, which we and other advertising firms have used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deliver targeted advertisements to consumers. While the effects of this development are uncertain and would not prevent us from operating our header bidding technology on Apple products, it could reduce the value of the ad impressions we offer. If our platform cannot operate effectively with popular devices, operating systems, or Internet browsers, including Apple devices and iOS, our business, results of operations, and financial condition would be adversely affected.</w:t>
      </w:r>
    </w:p>
    <w:p>
      <w:pPr>
        <w:spacing w:after="0" w:line="14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platform utilizes header bidding, a nascent technology solution for mobile advertising, by which impressions that would have previously been exposed to different potential sources of demand in a sequence dictated by ad server priorities are instead available for concurrent competitive bidding by demand sources. This can help publishers increase revenue by exposing their inventory to more bidders, thereby allocating more inventory to demand sources that value it most highly. Header bidding allows us to compete with demand sources that would previously have been above us in publishers' ad server sequences.</w:t>
      </w:r>
    </w:p>
    <w:p>
      <w:pPr>
        <w:spacing w:after="0" w:line="13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sell advertisement inventory directly through mobile application publishers, as well as through software development kits such as our OpenWrap SDK, and other proprietary technology of third parties, such as aggregators. From time to time our relationships with these third parties are terminated, the scale of these third parties' business with application providers is reduced, these third parties develop their own solutions that render ours obsolete, and the third parties' customers begin transacting directly between each other rather than through the third party, which causes the amount of mobile inventory available through our platform to decline. Any rapid or significant decline in mobile inventory would adversely affect our business, results of operations, and financial condition.</w:t>
      </w:r>
    </w:p>
    <w:p>
      <w:pPr>
        <w:spacing w:after="0" w:line="1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CTV develops in ways that prevent advertisements from being delivered to consumers, our business, results of operations, and financial condition may be adversely affected.</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online video advertising has continued to scale and evolve, the amount of online video advertising being bought and sold programmatically has increased dramatically; this market continues to grow with the increased popularity of CTV and OTT media. However, despite the opportunities created by programmatic advertising, programmatic solutions for CTV and OTT publishers are still nascent compared to desktop and mobile video solutions.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We believe that our platform is well-positioned to allow publishers the opportunity to achieve these goals and also reliably achieve “ad potting,” or the placement of the desired number of advertisements in commercial breaks. In fact, our OpenWrap OTT platform was designed to address these challenges and we have invested significant time and resources cultivating relationships with CTV publishers to establish best practices and evangelize the benefits of programmatic CTV. While we believe that programmatic advertising will continue to grow as a percentage of overall CTV advertising, there can be no assurance that CTV publishers will adopt programmatic solutions such as ours, or the rate at which they may adopt such solutions, which could adversely affect our business, results of operations,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adversely affect our business, results of operations, and financial condition.</w:t>
      </w:r>
    </w:p>
    <w:p>
      <w:pPr>
        <w:spacing w:after="0" w:line="17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Any representations that we make regarding our adherence to self-regulatory standards could result in regulatory action if we fail to meet them. Any such action against us could be costly and time consuming, require us to change our business practices, cause us to divert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1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generally do not have a direct relationship with consumers who view advertisements placed through our platform, so we may not be able to disclaim liabilities from such consumers through terms of use on our platform.</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Advertisements on websites, applications and other digital media properties of publishers purchased through our platform are viewed by consumers visiting the publishers’ digital media properties. Those publishers often have terms of use in place with their consumers that disclaim or limit their potential liabilities to consumers, or pursuant to which consumers waive rights to bring class actions against the publishers. We generally do not have terms of use in place with such consumers, so we cannot disclaim or limit potential liabilities to them through terms of use, which may expose us to greater liabilities than certain of our competitors.</w:t>
      </w:r>
    </w:p>
    <w:p>
      <w:pPr>
        <w:spacing w:after="0" w:line="14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spacing w:after="0" w:line="13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70"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We have limited experience in acquiring other businesses.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47" w:lineRule="exact"/>
        <w:rPr>
          <w:sz w:val="20"/>
          <w:szCs w:val="20"/>
          <w:color w:val="auto"/>
        </w:rPr>
      </w:pPr>
    </w:p>
    <w:p>
      <w:pPr>
        <w:ind w:left="660" w:right="10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 or service offerings, administrative systems, and personnel of acquired businesses, especially if those businesses operate outside of our core competency or geographies in which we currently operate;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from other business concerns;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 including claims from terminated employees, customers, former stockholders or other third parties;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rights, or increase our risk of liability;</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complications in the integration of acquired businesses or diminished prospects, including as a result of the COVID-19 pandemic and its global economic effects;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on a timely manner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transaction;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fund future acquisitions, we may pay cash or issue additional shares of our Class A common stock, which could dilute our stockholders or diminish our cash reserves. Borrowing to fund an acquisition would result in increased fixed obligations and could also subject us to covenants or other restrictions that could limit our ability to effectively run our business.</w:t>
      </w:r>
    </w:p>
    <w:p>
      <w:pPr>
        <w:spacing w:after="0" w:line="130"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4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litigation as a result of such actions, and, if we were sued, we would incur legal costs in our defense and cannot guarantee that a court would not attribute some liability to us.</w:t>
      </w:r>
    </w:p>
    <w:p>
      <w:pPr>
        <w:spacing w:after="0" w:line="130"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publishers, buyers, data providers, or partners fail to abide by relevant laws, rules and regulations, or contract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policies of insurance may not cover, such claims and losses.</w:t>
      </w:r>
    </w:p>
    <w:p>
      <w:pPr>
        <w:spacing w:after="0" w:line="14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subject to anti-bribery, anti-corruption, and similar laws and non-compliance with such laws can subject us to criminal penalties or significant fines and harm our business and reputation.</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subject to anti-bribery and similar laws, such as the U.S. Foreign Corrupt Practices Act of 1977, as amended, or the FCPA, the U.S. domestic bribery statute contained in 18 U.S.C. § 201, the USA PATRIOT Act, U.S. Travel Act, the U.K. Bribery Act 2010 and Proceeds of Crime Act 2002, and possibly other anti-corruption, anti-bribery, and anti-money laundering laws in countries in which we conduct activities. Anti-corruption laws have been enforced with great rigor in recent years and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we increase our international sales and business, and increase our use of third parties, our risks under these laws will increase. As a public company, the FCPA separately requires that we keep accurate books and records and maintain internal accounting controls sufficient to assure management’s control, authority, and responsibility over our assets. We have adopted policies and procedures and conduct training designed to prevent improper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the loss of export privileges, reputational harm, adverse media coverage, and other collateral consequences. Any investigations, actions, and/or sanctions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economic sanctions requirements and export and import controls that could impair our ability to compete in international markets or subject us to liability if we are not in compliance with applicable laws.</w:t>
      </w:r>
    </w:p>
    <w:p>
      <w:pPr>
        <w:spacing w:after="0" w:line="116"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13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would likely adversely affect our business, results of operations, and financial condition.</w:t>
      </w:r>
    </w:p>
    <w:p>
      <w:pPr>
        <w:spacing w:after="0" w:line="15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harmed.</w:t>
      </w:r>
    </w:p>
    <w:p>
      <w:pPr>
        <w:spacing w:after="0" w:line="13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believe our corporate culture has been a critical component of our success as we believe it fosters innovation, creativity, and teamwork across our business, helping to drive our success. We intend to expand our overall headcount and operations both domestically and internationally, with no assurance that we will be able to do so while effectively maintaining our corporate culture. As we expand and change, in particular across multiple geographies or following acquisitions, it may be difficult to preserve our corporate culture, which could reduce our ability to innovate, create, and operate effectively. In turn, the failure to preserve our culture could adversely affect our business, results of operations, and financial condition by negatively affecting our ability to attract, recruit, integrate and retain employees, continue to perform at current levels, and effectively execute our business strategy.</w:t>
      </w:r>
    </w:p>
    <w:p>
      <w:pPr>
        <w:spacing w:after="0" w:line="11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own trademark registrations and applications for the “PubMatic” name and variants thereof and other product-related marks in the United States and certain foreign countries. We have also registered numerous Internet domain names related to our business. We also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Furthermore, our patent strategy is still in its early stages. We may not be able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further patents, and our pending application may not result in the issuance of a patent.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14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1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14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publishers or buyers do not have sufficient rights to the content, technology, data, or other material that they provide or make available to us, our business and reputation may be harmed.</w:t>
      </w:r>
    </w:p>
    <w:p>
      <w:pPr>
        <w:spacing w:after="0" w:line="116"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If publishers or buyers do not have sufficient rights to the content, technology, data, or other material associated with an ad impression that they provide, or if it infringes or is alleged to infringe the intellectual property rights of third parties, we could be subject to claims from those third parties, which could adversely affect our business, results of operations, and financial condition. For example, channel partners may aggregate ad impressions across several publishers, and we may not be able to verify that these aggregators own or have rights to all of their digital ad impressions. As a result, we may face potential liability for copyright, patent, trademark or other intellectual property infringement, or other claims. Litigation to defend these claims could be costly and have an adverse effect on our business, results of operations, and financial condition. We cannot assure you that we are adequately insured to cover claims of these types or adequately indemnified for all liability that may be imposed on us as a result of these claims.</w:t>
      </w:r>
    </w:p>
    <w:p>
      <w:pPr>
        <w:spacing w:after="0" w:line="1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have an adverse effect on our business, results of operations, and financial condition.</w:t>
      </w:r>
    </w:p>
    <w:p>
      <w:pPr>
        <w:spacing w:after="0" w:line="11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13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2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re-engineer our solution or the supporting computational infrastructure to discontinue use of code, or to make generally available, in source code form, portions of our proprietary code.</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 of catastrophic events such as pandemics, earthquakes, flooding, fire, and power outages, and to interruption by man-made problems such as terrorism.</w:t>
      </w:r>
    </w:p>
    <w:p>
      <w:pPr>
        <w:spacing w:after="0" w:line="1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business is vulnerable to damage or interruption from pandemics, earthquakes, flooding, fire, power outages, telecommunications failures, terrorist attacks, acts of war, human errors, break-ins, and similar events. In particular, the COVID-19 pandemic, including the reactions of governments, markets, and the general public, may result in a number of adverse consequences for our business, results of operations, and financial condition, many of which are beyond our control. A significant natural disaster could have a material adverse effect on our business, results of operations, and financial condition, and our insurance coverage may be insufficient to compensate us for losses that may occur. Our corporate offices and one of our data center facilities are located in California, a state known for seismic activity. Significant portions of our development and advertising operations work is located in Pune, India, which is susceptible to earthquakes and flooding. In addition, acts of terrorism, which may be targeted at metropolitan areas that have higher population density than rural areas, could cause disruptions in our or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have an adverse effect on our business, results of operations, and financial condition.</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subject to reduced disclosure requirements, and there is a risk that availing ourselves of such reduced disclosure requirements will make our Class A common stock less attractive to investors.</w:t>
      </w:r>
    </w:p>
    <w:p>
      <w:pPr>
        <w:spacing w:after="0" w:line="11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intend to take advantage of exemptions from various reporting requirements such as, but not limited to, not being required to obtain auditor attestation of our reporting on internal control over financial reporting, having reduced disclosure obligations about our executive compensation in our periodic reports and proxy statements, and not being required to hold advisory stockholder votes on executive compensation and stockholder approval of any golden parachute payments not previously approved. If some investors find our Class A common stock less attractive as a result, there may be a less active trading market for our Class A common stock, and our stock price may be more volatile.</w:t>
      </w:r>
    </w:p>
    <w:p>
      <w:pPr>
        <w:spacing w:after="0" w:line="1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will remain an emerging growth company until the earliest of: the end of the fiscal year in which the market value of the shares of our outstanding capital stock held by non-affiliates is $700 million or more as of the end of the second quarter of that year, the end of the fiscal year in which we have total annual gross revenue of $1.07 billion, the date on which we issue more than $1.0 billion in nonconvertible debt in a three-year period, or December 31, 2025.</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controls, our ability to produce accurate financial statements and other disclosures on a timely basis could be impaired.</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 We are also continuing to expand our internal controls over financial reporting. In order to maintain and improve the effectiveness of our disclosure controls and procedures and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13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3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price of our Class A common stock.</w:t>
      </w:r>
    </w:p>
    <w:p>
      <w:pPr>
        <w:spacing w:after="0" w:line="13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management team has limited experience managing a public company and we will incur significantly increased costs and devote substantial management time as a result of operating as a public company.</w:t>
      </w:r>
    </w:p>
    <w:p>
      <w:pPr>
        <w:spacing w:after="0" w:line="11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Most members of our management team have limited experience managing a publicly traded company, interacting with public company investors, and complying with the increasingly complex laws, rules, and regulations that govern public companies. As a public company, we are subject to significant obligations relating to reporting, procedures and internal controls, and our management team may not successfully or efficiently manage such obligations. These obligations and scrutiny will require significant attention from our management and could divert their attention away from the day-to-day management of our business, which could adversely affect our business, results of operations, and financial condition. We expect that compliance with these requirements will increase our compliance costs. We will need to hire additional accounting, financial, and legal staff with appropriate public company experience and technical accounting knowledge and will need to establish an internal audit function. We cannot predict or estimate the amount of additional costs we may incur as a result of becoming a public company or the timing of these costs.</w:t>
      </w:r>
    </w:p>
    <w:p>
      <w:pPr>
        <w:spacing w:after="0" w:line="13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also expect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of directors, particularly to serve on our Audit Committee and Compensation Committee, and qualified executive officers.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operating and financial covenants that may restrict our business and financing activities.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March 31, 2021, we had no outstanding borrowings under our loan and security agreement with Silicon Valley Bank (“SVB”). Borrowings under this agreement are secured by substantially all of our assets, excluding our intellectual property. This loan and security agreement also restricts our ability, without SVB’s written consent, to, among other things:</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or sell our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off or redeem subordinated indebtedness.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our loan and security agreement with SVB contains covenants requiring us to comply with minimum monthly liquidity requirements.</w:t>
      </w:r>
    </w:p>
    <w:p>
      <w:pPr>
        <w:spacing w:after="0" w:line="196"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operating and financial restrictions and covenants in the loan and security agreement, as well as any future financing arrangements that we may enter into, may restrict our ability to finance our operations, engage in, expand, or otherwise pursue our business activities and strategies. On occasion in the past, we failed to comply with covenants related to providing audited financial statements, for which we obtained waivers from SVB. Our ability to comply with these or other covenants may be affected by events beyond our control, and future breaches of these or other covenants could result in a default under the loan and security agreements. If not waived, future defaults could cause all of the outstanding indebtedness under our loan and security agreement to become immediately due and payable and terminate all commitments to extend further credit.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with respect to political advertising, which lacks clarity and uniformity.</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are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may need additional capital in the future to meet our financial obligations and to pursue our business objectives. Additional capital may not be available on favorable terms, or at all, which could compromise our ability to meet our financial obligations and grow our business.</w:t>
      </w:r>
    </w:p>
    <w:p>
      <w:pPr>
        <w:spacing w:after="0" w:line="7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may need to raise additional capital to fund operations in the future or to finance acquisitions or other business objectives. Additional capital may not be available on favorable terms or at all. Lack of sufficient capital resources could significantly limit our ability to meet our financial obligations or to take advantage of business and strategic opportunities. Any additional capital raised through the sale of equity or convertible debt securities would dilute your stock ownership,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we may be required to delay, reduce the scope of, or eliminate material parts of our business strategy, including potential additional acquisitions or development of new technologies and geographic expansion.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Given uncertainty with respect to the impact of the COVID-19 pandemic on our operations, the income tax benefit/expense we record may vary significantly in future periods.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Class A common stock has been and may continue to be volatile and could subject us to litigation.</w:t>
      </w:r>
    </w:p>
    <w:p>
      <w:pPr>
        <w:spacing w:after="0" w:line="18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include the following:</w:t>
      </w:r>
    </w:p>
    <w:p>
      <w:pPr>
        <w:spacing w:after="0" w:line="143" w:lineRule="exact"/>
        <w:rPr>
          <w:sz w:val="20"/>
          <w:szCs w:val="20"/>
          <w:color w:val="auto"/>
        </w:rPr>
      </w:pPr>
    </w:p>
    <w:p>
      <w:pPr>
        <w:ind w:left="660" w:right="5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digital advertising industry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solutions or technologies, commercial relationships, acquisitions, or other events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platform and future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sales of large blocks of our common stock; actual or anticipated changes or fluctuations in our results of operations or financial projections;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or regulatory actions or audits;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applicable to our business, including those related to privacy in the United States or globally;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employees.</w:t>
      </w:r>
    </w:p>
    <w:p>
      <w:pPr>
        <w:spacing w:after="0" w:line="17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we could incur substantial costs and divert management’s attention and resources.</w:t>
      </w:r>
    </w:p>
    <w:p>
      <w:pPr>
        <w:spacing w:after="0" w:line="152" w:lineRule="exact"/>
        <w:rPr>
          <w:sz w:val="20"/>
          <w:szCs w:val="20"/>
          <w:color w:val="auto"/>
        </w:rPr>
      </w:pPr>
    </w:p>
    <w:p>
      <w:pPr>
        <w:ind w:right="620"/>
        <w:spacing w:after="0" w:line="381" w:lineRule="auto"/>
        <w:rPr>
          <w:sz w:val="20"/>
          <w:szCs w:val="20"/>
          <w:color w:val="auto"/>
        </w:rPr>
      </w:pPr>
      <w:r>
        <w:rPr>
          <w:rFonts w:ascii="Arial" w:cs="Arial" w:eastAsia="Arial" w:hAnsi="Arial"/>
          <w:sz w:val="15"/>
          <w:szCs w:val="15"/>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4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April 30, 2021, our directors, officers, and holders of more than 5% of our common stock, and their respective affiliates, hold in the aggregate approximately 80%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until the date that is ten years from the closing of this offering.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4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11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may make it more difficult for you to sell your common stock at a time and price that you deem appropriate.</w:t>
      </w:r>
    </w:p>
    <w:p>
      <w:pPr>
        <w:spacing w:after="0" w:line="13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directors, executive officers and employees hold options and restricted stock units under our equity incentive plans, and the shares issuable upon the exercise of such options or vesting of such restricted stock units has been registered for public resale under the Securities Act. Accordingly, these shares will be able to be freely sold in the public market upon issuance subject to certain legal and contractual requirements.</w:t>
      </w:r>
    </w:p>
    <w:p>
      <w:pPr>
        <w:spacing w:after="0" w:line="1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Additionally, certain holders of approximately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If we were to register these shares for resale, they could be freely sold in the public market. If these additional shares are sold, or if it is perceived that they will be sold, in the public market, the trading price of our common stock could decline.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30" w:lineRule="exact"/>
        <w:rPr>
          <w:sz w:val="20"/>
          <w:szCs w:val="20"/>
          <w:color w:val="auto"/>
        </w:rPr>
      </w:pPr>
    </w:p>
    <w:p>
      <w:pPr>
        <w:ind w:left="660" w:right="14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without stockholder approval, which could be used to significantly dilute the ownership of a hostile acquirer;</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our chief executive officer, our lead director, or a majority of our board;</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it to take additional actions to prevent an unsolicited takeover and inhibit the ability of an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40" w:hanging="328"/>
        <w:spacing w:after="0" w:line="342"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69"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or to propose matters to be acted upon at a stockholders’ meeting; and</w:t>
      </w:r>
    </w:p>
    <w:p>
      <w:pPr>
        <w:spacing w:after="0" w:line="116" w:lineRule="exact"/>
        <w:rPr>
          <w:rFonts w:ascii="Arial" w:cs="Arial" w:eastAsia="Arial" w:hAnsi="Arial"/>
          <w:sz w:val="18"/>
          <w:szCs w:val="18"/>
          <w:color w:val="auto"/>
        </w:rPr>
      </w:pPr>
    </w:p>
    <w:p>
      <w:pPr>
        <w:jc w:val="both"/>
        <w:ind w:left="660" w:right="10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2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1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never declared or paid any dividends on our common stock. We currently intend to retain any earnings to finance the operation and expansion of our business, and we do not anticipate paying any cash dividends in the foreseeable future. Any determination to pay dividends in the future will be at the discretion of our board of directors. In addition, the terms of our existing debt arrangements preclude us from paying dividends and our future debt agreements, if any, may contain similar restrictions. As a result, you may only receive a return on your investment in our Class A common stock if the market price of our Class A common stock increases.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shares, change their opinion of our business prospects or publish inaccurate or unfavorable research about our business, our share price may decline. If one or more of these analysts who cover us ceases coverage of our company or fails to regularly publish reports on us, we could lose visibility in the financial markets, which could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4"/>
          </w:tcPr>
          <w:p>
            <w:pPr>
              <w:ind w:left="500"/>
              <w:spacing w:after="0"/>
              <w:rPr>
                <w:sz w:val="20"/>
                <w:szCs w:val="20"/>
                <w:color w:val="auto"/>
              </w:rPr>
            </w:pPr>
            <w:r>
              <w:rPr>
                <w:rFonts w:ascii="Arial" w:cs="Arial" w:eastAsia="Arial" w:hAnsi="Arial"/>
                <w:sz w:val="14"/>
                <w:szCs w:val="14"/>
                <w:b w:val="1"/>
                <w:bCs w:val="1"/>
                <w:color w:val="auto"/>
                <w:w w:val="95"/>
              </w:rPr>
              <w:t>Incorporated by Reference</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600" w:type="dxa"/>
            <w:vAlign w:val="bottom"/>
            <w:gridSpan w:val="11"/>
          </w:tcPr>
          <w:p>
            <w:pPr>
              <w:spacing w:after="0"/>
              <w:rPr>
                <w:sz w:val="20"/>
                <w:szCs w:val="20"/>
                <w:color w:val="auto"/>
              </w:rPr>
            </w:pPr>
            <w:r>
              <w:rPr>
                <w:rFonts w:ascii="Arial" w:cs="Arial" w:eastAsia="Arial" w:hAnsi="Arial"/>
                <w:sz w:val="14"/>
                <w:szCs w:val="14"/>
                <w:b w:val="1"/>
                <w:bCs w:val="1"/>
                <w:color w:val="auto"/>
              </w:rPr>
              <w:t>Description of Document</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File No.</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Filing 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26"/>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Borders>
              <w:bottom w:val="single" w:sz="8" w:color="0000FF"/>
            </w:tcBorders>
            <w:gridSpan w:val="4"/>
          </w:tcPr>
          <w:p>
            <w:pPr>
              <w:spacing w:after="0"/>
              <w:rPr>
                <w:rFonts w:ascii="Arial" w:cs="Arial" w:eastAsia="Arial" w:hAnsi="Arial"/>
                <w:sz w:val="16"/>
                <w:szCs w:val="16"/>
                <w:color w:val="0000FF"/>
                <w:w w:val="91"/>
              </w:rPr>
            </w:pPr>
            <w:hyperlink r:id="rId97">
              <w:r>
                <w:rPr>
                  <w:rFonts w:ascii="Arial" w:cs="Arial" w:eastAsia="Arial" w:hAnsi="Arial"/>
                  <w:sz w:val="16"/>
                  <w:szCs w:val="16"/>
                  <w:color w:val="0000FF"/>
                  <w:w w:val="91"/>
                </w:rPr>
                <w:t>Third Amendment to Third Amended and Restated Loan and</w:t>
              </w:r>
            </w:hyperlink>
          </w:p>
        </w:tc>
        <w:tc>
          <w:tcPr>
            <w:tcW w:w="640" w:type="dxa"/>
            <w:vAlign w:val="bottom"/>
            <w:gridSpan w:val="7"/>
          </w:tcPr>
          <w:p>
            <w:pPr>
              <w:spacing w:after="0"/>
              <w:rPr>
                <w:sz w:val="19"/>
                <w:szCs w:val="19"/>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225"/>
              <w:spacing w:after="0"/>
              <w:rPr>
                <w:sz w:val="20"/>
                <w:szCs w:val="20"/>
                <w:color w:val="auto"/>
              </w:rPr>
            </w:pPr>
            <w:r>
              <w:rPr>
                <w:rFonts w:ascii="Arial" w:cs="Arial" w:eastAsia="Arial" w:hAnsi="Arial"/>
                <w:sz w:val="16"/>
                <w:szCs w:val="16"/>
                <w:color w:val="auto"/>
              </w:rPr>
              <w:t>001-39748</w:t>
            </w:r>
          </w:p>
        </w:tc>
        <w:tc>
          <w:tcPr>
            <w:tcW w:w="80" w:type="dxa"/>
            <w:vAlign w:val="bottom"/>
          </w:tcPr>
          <w:p>
            <w:pPr>
              <w:spacing w:after="0"/>
              <w:rPr>
                <w:sz w:val="19"/>
                <w:szCs w:val="19"/>
                <w:color w:val="auto"/>
              </w:rPr>
            </w:pPr>
          </w:p>
        </w:tc>
        <w:tc>
          <w:tcPr>
            <w:tcW w:w="740" w:type="dxa"/>
            <w:vAlign w:val="bottom"/>
          </w:tcPr>
          <w:p>
            <w:pPr>
              <w:jc w:val="right"/>
              <w:ind w:right="144"/>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1240" w:type="dxa"/>
            <w:vAlign w:val="bottom"/>
          </w:tcPr>
          <w:p>
            <w:pPr>
              <w:jc w:val="right"/>
              <w:ind w:right="184"/>
              <w:spacing w:after="0"/>
              <w:rPr>
                <w:sz w:val="20"/>
                <w:szCs w:val="20"/>
                <w:color w:val="auto"/>
              </w:rPr>
            </w:pPr>
            <w:r>
              <w:rPr>
                <w:rFonts w:ascii="Arial" w:cs="Arial" w:eastAsia="Arial" w:hAnsi="Arial"/>
                <w:sz w:val="16"/>
                <w:szCs w:val="16"/>
                <w:color w:val="auto"/>
              </w:rPr>
              <w:t>04/09/2021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bottom w:val="single" w:sz="8" w:color="0000FF"/>
            </w:tcBorders>
            <w:gridSpan w:val="5"/>
          </w:tcPr>
          <w:p>
            <w:pPr>
              <w:spacing w:after="0" w:line="169" w:lineRule="exact"/>
              <w:rPr>
                <w:rFonts w:ascii="Arial" w:cs="Arial" w:eastAsia="Arial" w:hAnsi="Arial"/>
                <w:sz w:val="16"/>
                <w:szCs w:val="16"/>
                <w:color w:val="0000FF"/>
                <w:w w:val="91"/>
              </w:rPr>
            </w:pPr>
            <w:hyperlink r:id="rId97">
              <w:r>
                <w:rPr>
                  <w:rFonts w:ascii="Arial" w:cs="Arial" w:eastAsia="Arial" w:hAnsi="Arial"/>
                  <w:sz w:val="16"/>
                  <w:szCs w:val="16"/>
                  <w:color w:val="0000FF"/>
                  <w:w w:val="91"/>
                </w:rPr>
                <w:t>Security Agreement, dated April 6, 2021, by and between the</w:t>
              </w:r>
            </w:hyperlink>
          </w:p>
        </w:tc>
        <w:tc>
          <w:tcPr>
            <w:tcW w:w="620" w:type="dxa"/>
            <w:vAlign w:val="bottom"/>
            <w:gridSpan w:val="6"/>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bottom w:val="single" w:sz="8" w:color="0000FF"/>
            </w:tcBorders>
            <w:gridSpan w:val="2"/>
          </w:tcPr>
          <w:p>
            <w:pPr>
              <w:spacing w:after="0" w:line="169"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Registrant and Silicon Valley Bank.</w:t>
              </w:r>
            </w:hyperlink>
          </w:p>
        </w:tc>
        <w:tc>
          <w:tcPr>
            <w:tcW w:w="2280" w:type="dxa"/>
            <w:vAlign w:val="bottom"/>
            <w:gridSpan w:val="9"/>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Borders>
              <w:bottom w:val="single" w:sz="8" w:color="0000FF"/>
            </w:tcBorders>
            <w:gridSpan w:val="9"/>
          </w:tcPr>
          <w:p>
            <w:pPr>
              <w:spacing w:after="0"/>
              <w:rPr>
                <w:rFonts w:ascii="Arial" w:cs="Arial" w:eastAsia="Arial" w:hAnsi="Arial"/>
                <w:sz w:val="16"/>
                <w:szCs w:val="16"/>
                <w:color w:val="0000FF"/>
                <w:w w:val="93"/>
              </w:rPr>
            </w:pPr>
            <w:hyperlink w:anchor="page73">
              <w:r>
                <w:rPr>
                  <w:rFonts w:ascii="Arial" w:cs="Arial" w:eastAsia="Arial" w:hAnsi="Arial"/>
                  <w:sz w:val="16"/>
                  <w:szCs w:val="16"/>
                  <w:color w:val="0000FF"/>
                  <w:w w:val="93"/>
                </w:rPr>
                <w:t>Certification of Chief Executive Officer pursuant to Rules 13a-14(a)</w:t>
              </w:r>
            </w:hyperlink>
          </w:p>
        </w:tc>
        <w:tc>
          <w:tcPr>
            <w:tcW w:w="1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11"/>
          </w:tcPr>
          <w:p>
            <w:pPr>
              <w:spacing w:after="0" w:line="169" w:lineRule="exact"/>
              <w:rPr>
                <w:rFonts w:ascii="Arial" w:cs="Arial" w:eastAsia="Arial" w:hAnsi="Arial"/>
                <w:sz w:val="16"/>
                <w:szCs w:val="16"/>
                <w:color w:val="0000FF"/>
              </w:rPr>
            </w:pPr>
            <w:hyperlink w:anchor="page73">
              <w:r>
                <w:rPr>
                  <w:rFonts w:ascii="Arial" w:cs="Arial" w:eastAsia="Arial" w:hAnsi="Arial"/>
                  <w:sz w:val="16"/>
                  <w:szCs w:val="16"/>
                  <w:color w:val="0000FF"/>
                </w:rPr>
                <w:t>and 15d-14(a) under the Securities Exchange Act of 1934, as</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11"/>
          </w:tcPr>
          <w:p>
            <w:pPr>
              <w:spacing w:after="0" w:line="169" w:lineRule="exact"/>
              <w:rPr>
                <w:rFonts w:ascii="Arial" w:cs="Arial" w:eastAsia="Arial" w:hAnsi="Arial"/>
                <w:sz w:val="16"/>
                <w:szCs w:val="16"/>
                <w:color w:val="0000FF"/>
                <w:w w:val="94"/>
              </w:rPr>
            </w:pPr>
            <w:hyperlink w:anchor="page73">
              <w:r>
                <w:rPr>
                  <w:rFonts w:ascii="Arial" w:cs="Arial" w:eastAsia="Arial" w:hAnsi="Arial"/>
                  <w:sz w:val="16"/>
                  <w:szCs w:val="16"/>
                  <w:color w:val="0000FF"/>
                  <w:w w:val="94"/>
                </w:rPr>
                <w:t>adopted pursuant to Section 302 of the Sarbanes-Oxley Act of 2002.</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top w:val="single" w:sz="8" w:color="0000FF"/>
            </w:tcBorders>
            <w:gridSpan w:val="8"/>
          </w:tcPr>
          <w:p>
            <w:pPr>
              <w:spacing w:after="0"/>
              <w:rPr>
                <w:rFonts w:ascii="Arial" w:cs="Arial" w:eastAsia="Arial" w:hAnsi="Arial"/>
                <w:sz w:val="16"/>
                <w:szCs w:val="16"/>
                <w:color w:val="0000FF"/>
                <w:w w:val="94"/>
              </w:rPr>
            </w:pPr>
            <w:hyperlink w:anchor="page74">
              <w:r>
                <w:rPr>
                  <w:rFonts w:ascii="Arial" w:cs="Arial" w:eastAsia="Arial" w:hAnsi="Arial"/>
                  <w:sz w:val="16"/>
                  <w:szCs w:val="16"/>
                  <w:color w:val="0000FF"/>
                  <w:w w:val="94"/>
                </w:rPr>
                <w:t>Certification of Chief Financial Officer pursuant to Rules 13a-14(a)</w:t>
              </w:r>
            </w:hyperlink>
          </w:p>
        </w:tc>
        <w:tc>
          <w:tcPr>
            <w:tcW w:w="18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w:anchor="page74">
              <w:r>
                <w:rPr>
                  <w:rFonts w:ascii="Arial" w:cs="Arial" w:eastAsia="Arial" w:hAnsi="Arial"/>
                  <w:sz w:val="16"/>
                  <w:szCs w:val="16"/>
                  <w:color w:val="0000FF"/>
                </w:rPr>
                <w:t>and 15d-14(a) under the Securities Exchange Act of 1934, as</w:t>
              </w:r>
            </w:hyperlink>
          </w:p>
        </w:tc>
        <w:tc>
          <w:tcPr>
            <w:tcW w:w="22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11"/>
          </w:tcPr>
          <w:p>
            <w:pPr>
              <w:spacing w:after="0" w:line="169" w:lineRule="exact"/>
              <w:rPr>
                <w:rFonts w:ascii="Arial" w:cs="Arial" w:eastAsia="Arial" w:hAnsi="Arial"/>
                <w:sz w:val="16"/>
                <w:szCs w:val="16"/>
                <w:color w:val="0000FF"/>
                <w:w w:val="94"/>
              </w:rPr>
            </w:pPr>
            <w:hyperlink w:anchor="page74">
              <w:r>
                <w:rPr>
                  <w:rFonts w:ascii="Arial" w:cs="Arial" w:eastAsia="Arial" w:hAnsi="Arial"/>
                  <w:sz w:val="16"/>
                  <w:szCs w:val="16"/>
                  <w:color w:val="0000FF"/>
                  <w:w w:val="94"/>
                </w:rPr>
                <w:t>adopted pursuant to Section 302 of the Sarbanes-Oxley Act of 2002.</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top w:val="single" w:sz="8" w:color="0000FF"/>
            </w:tcBorders>
            <w:gridSpan w:val="8"/>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Certification of Chief Executive Officer pursuant to 18 U.S.C.</w:t>
              </w:r>
            </w:hyperlink>
          </w:p>
        </w:tc>
        <w:tc>
          <w:tcPr>
            <w:tcW w:w="18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11"/>
          </w:tcPr>
          <w:p>
            <w:pPr>
              <w:spacing w:after="0" w:line="169" w:lineRule="exact"/>
              <w:rPr>
                <w:rFonts w:ascii="Arial" w:cs="Arial" w:eastAsia="Arial" w:hAnsi="Arial"/>
                <w:sz w:val="16"/>
                <w:szCs w:val="16"/>
                <w:color w:val="0000FF"/>
                <w:w w:val="95"/>
              </w:rPr>
            </w:pPr>
            <w:hyperlink w:anchor="page75">
              <w:r>
                <w:rPr>
                  <w:rFonts w:ascii="Arial" w:cs="Arial" w:eastAsia="Arial" w:hAnsi="Arial"/>
                  <w:sz w:val="16"/>
                  <w:szCs w:val="16"/>
                  <w:color w:val="0000FF"/>
                  <w:w w:val="95"/>
                </w:rPr>
                <w:t>Section 1350, as adopted pursuant to Section 906 of the Sarbanes-</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w:anchor="page75">
              <w:r>
                <w:rPr>
                  <w:rFonts w:ascii="Arial" w:cs="Arial" w:eastAsia="Arial" w:hAnsi="Arial"/>
                  <w:sz w:val="16"/>
                  <w:szCs w:val="16"/>
                  <w:color w:val="0000FF"/>
                </w:rPr>
                <w:t>Oxley Act of 2002.</w:t>
              </w:r>
            </w:hyperlink>
          </w:p>
        </w:tc>
        <w:tc>
          <w:tcPr>
            <w:tcW w:w="320" w:type="dxa"/>
            <w:vAlign w:val="bottom"/>
            <w:gridSpan w:val="5"/>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Certification of Chief Financial Officer pursuant to 18 U.S.C.</w:t>
              </w:r>
            </w:hyperlink>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11"/>
          </w:tcPr>
          <w:p>
            <w:pPr>
              <w:spacing w:after="0" w:line="169" w:lineRule="exact"/>
              <w:rPr>
                <w:rFonts w:ascii="Arial" w:cs="Arial" w:eastAsia="Arial" w:hAnsi="Arial"/>
                <w:sz w:val="16"/>
                <w:szCs w:val="16"/>
                <w:color w:val="0000FF"/>
                <w:w w:val="95"/>
              </w:rPr>
            </w:pPr>
            <w:hyperlink w:anchor="page76">
              <w:r>
                <w:rPr>
                  <w:rFonts w:ascii="Arial" w:cs="Arial" w:eastAsia="Arial" w:hAnsi="Arial"/>
                  <w:sz w:val="16"/>
                  <w:szCs w:val="16"/>
                  <w:color w:val="0000FF"/>
                  <w:w w:val="95"/>
                </w:rPr>
                <w:t>Section 1350, as adopted pursuant to Section 906 of the Sarbanes-</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w:anchor="page76">
              <w:r>
                <w:rPr>
                  <w:rFonts w:ascii="Arial" w:cs="Arial" w:eastAsia="Arial" w:hAnsi="Arial"/>
                  <w:sz w:val="16"/>
                  <w:szCs w:val="16"/>
                  <w:color w:val="0000FF"/>
                </w:rPr>
                <w:t>Oxley Act of 2002.</w:t>
              </w:r>
            </w:hyperlink>
          </w:p>
        </w:tc>
        <w:tc>
          <w:tcPr>
            <w:tcW w:w="320" w:type="dxa"/>
            <w:vAlign w:val="bottom"/>
            <w:gridSpan w:val="5"/>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w w:val="95"/>
              </w:rPr>
              <w:t>Inline XBRL Instance Document — the instance document does not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rPr>
              <w:t>appear in the Interactive Data File because its XBRL tags are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rPr>
              <w:t>embedded within the Inline XBRL document</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w w:val="97"/>
              </w:rPr>
              <w:t>Inline XBRL Taxonomy Extension Calculation Linkbase Document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w w:val="95"/>
              </w:rPr>
              <w:t>Inline XBRL Taxonomy Extension Presentation Linkbase Document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87"/>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1"/>
          </w:tcPr>
          <w:p>
            <w:pPr>
              <w:spacing w:after="0"/>
              <w:rPr>
                <w:sz w:val="20"/>
                <w:szCs w:val="20"/>
                <w:color w:val="auto"/>
              </w:rPr>
            </w:pPr>
            <w:r>
              <w:rPr>
                <w:rFonts w:ascii="Arial" w:cs="Arial" w:eastAsia="Arial" w:hAnsi="Arial"/>
                <w:sz w:val="16"/>
                <w:szCs w:val="16"/>
                <w:color w:val="auto"/>
              </w:rPr>
              <w:t>contained in Exhibit 101)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right="260" w:hanging="332"/>
        <w:spacing w:after="0" w:line="248" w:lineRule="auto"/>
        <w:tabs>
          <w:tab w:leader="none" w:pos="3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May 13, 2021</w:t>
      </w:r>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PUBMATIC, INC.</w:t>
      </w:r>
    </w:p>
    <w:p>
      <w:pPr>
        <w:spacing w:after="0" w:line="337" w:lineRule="exact"/>
        <w:rPr>
          <w:sz w:val="20"/>
          <w:szCs w:val="20"/>
          <w:color w:val="auto"/>
        </w:rPr>
      </w:pPr>
    </w:p>
    <w:p>
      <w:pPr>
        <w:ind w:left="5000"/>
        <w:spacing w:after="0"/>
        <w:tabs>
          <w:tab w:leader="none" w:pos="5480" w:val="left"/>
        </w:tabs>
        <w:rPr>
          <w:sz w:val="20"/>
          <w:szCs w:val="20"/>
          <w:color w:val="auto"/>
        </w:rPr>
      </w:pPr>
      <w:r>
        <w:rPr>
          <w:rFonts w:ascii="Arial" w:cs="Arial" w:eastAsia="Arial" w:hAnsi="Arial"/>
          <w:sz w:val="18"/>
          <w:szCs w:val="18"/>
          <w:color w:val="auto"/>
        </w:rPr>
        <w:t>By:</w:t>
        <w:tab/>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Steven Pantelick</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40"/>
          </w:cols>
          <w:pgMar w:left="320" w:top="125" w:right="5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Rajeev K. Goel, certify that:</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Rajeev K. Goel</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Rajeev K. Goel</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Pantelick, certify that:</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PubMatic,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Steven Pantelick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Pantelick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17" w:right="339" w:bottom="1440" w:gutter="0" w:footer="0" w:header="0"/>
        </w:sectPr>
      </w:pPr>
    </w:p>
    <w:bookmarkStart w:id="74" w:name="page75"/>
    <w:bookmarkEnd w:id="74"/>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83" w:lineRule="exact"/>
        <w:rPr>
          <w:sz w:val="20"/>
          <w:szCs w:val="20"/>
          <w:color w:val="auto"/>
        </w:rPr>
      </w:pPr>
    </w:p>
    <w:p>
      <w:pPr>
        <w:jc w:val="center"/>
        <w:ind w:left="360" w:right="2140"/>
        <w:spacing w:after="0" w:line="263" w:lineRule="auto"/>
        <w:rPr>
          <w:sz w:val="20"/>
          <w:szCs w:val="20"/>
          <w:color w:val="auto"/>
        </w:rPr>
      </w:pPr>
      <w:r>
        <w:rPr>
          <w:rFonts w:ascii="Arial" w:cs="Arial" w:eastAsia="Arial" w:hAnsi="Arial"/>
          <w:sz w:val="18"/>
          <w:szCs w:val="18"/>
          <w:color w:val="auto"/>
        </w:rPr>
        <w:t>CERTIFICATION OF CHIEF EXECUTIVE OFFICER PURSUANT TO PURSUANT TO 18 U.S.C. SECTION 1350, AS ADOPTED PURSUANT TO SECTION 906 OF THE SARBANES-OXLEY ACT OF 2002</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 Rajeev K. Goel, Chief Executive Officer of PubMatic, Inc. (the “Company”), do hereby certify, pursuant to 18 U.S.C. Section 1350, as adopted pursuant to Section 906 of the Sarbanes-Oxley Act of 2002, that to my knowledge:</w:t>
      </w:r>
    </w:p>
    <w:p>
      <w:pPr>
        <w:spacing w:after="0" w:line="197" w:lineRule="exact"/>
        <w:rPr>
          <w:sz w:val="20"/>
          <w:szCs w:val="20"/>
          <w:color w:val="auto"/>
        </w:rPr>
      </w:pPr>
    </w:p>
    <w:p>
      <w:pPr>
        <w:ind w:left="660" w:right="860" w:hanging="328"/>
        <w:spacing w:after="0" w:line="277"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Rajeev K. Goel</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Rajeev K. Goel</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1440" w:right="339" w:bottom="1440" w:gutter="0" w:footer="0" w:header="0"/>
        </w:sectPr>
      </w:pPr>
    </w:p>
    <w:bookmarkStart w:id="75" w:name="page76"/>
    <w:bookmarkEnd w:id="75"/>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83" w:lineRule="exact"/>
        <w:rPr>
          <w:sz w:val="20"/>
          <w:szCs w:val="20"/>
          <w:color w:val="auto"/>
        </w:rPr>
      </w:pPr>
    </w:p>
    <w:p>
      <w:pPr>
        <w:jc w:val="center"/>
        <w:ind w:left="360" w:right="2140"/>
        <w:spacing w:after="0" w:line="263" w:lineRule="auto"/>
        <w:rPr>
          <w:sz w:val="20"/>
          <w:szCs w:val="20"/>
          <w:color w:val="auto"/>
        </w:rPr>
      </w:pPr>
      <w:r>
        <w:rPr>
          <w:rFonts w:ascii="Arial" w:cs="Arial" w:eastAsia="Arial" w:hAnsi="Arial"/>
          <w:sz w:val="18"/>
          <w:szCs w:val="18"/>
          <w:color w:val="auto"/>
        </w:rPr>
        <w:t>CERTIFICATION OF CHIEF FINANCIAL OFFICER PURSUANT TO PURSUANT TO 18 U.S.C. SECTION 1350, AS ADOPTED PURSUANT TO SECTION 906 OF THE SARBANES-OXLEY ACT OF 2002</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Steven Pantelick, Chief Financial Officer of PubMatic, Inc. (the “Company”), do hereby certify, pursuant to 18 U.S.C. Section 1350, as adopted pursuant to Section 906 of the Sarbanes-Oxley Act of 2002, that to my knowledge:</w:t>
      </w:r>
    </w:p>
    <w:p>
      <w:pPr>
        <w:spacing w:after="0" w:line="197" w:lineRule="exact"/>
        <w:rPr>
          <w:sz w:val="20"/>
          <w:szCs w:val="20"/>
          <w:color w:val="auto"/>
        </w:rPr>
      </w:pPr>
    </w:p>
    <w:p>
      <w:pPr>
        <w:ind w:left="660" w:right="860" w:hanging="328"/>
        <w:spacing w:after="0" w:line="277"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2021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8"/>
          <w:szCs w:val="18"/>
          <w:color w:val="auto"/>
        </w:rPr>
        <w:t>Dated: May 13,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Steven Pantelick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Pantelick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8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97" Type="http://schemas.openxmlformats.org/officeDocument/2006/relationships/hyperlink" Target="https://www.sec.gov/Archives/edgar/data/0001422930/000142293021000015/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2021-05-14T11:31:45Z</dcterms:created>
  <dcterms:modified xsi:type="dcterms:W3CDTF">2021-05-14T11:31:45Z</dcterms:modified>
</cp:coreProperties>
</file>