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52705</wp:posOffset>
            </wp:positionV>
            <wp:extent cx="159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76835</wp:posOffset>
            </wp:positionV>
            <wp:extent cx="159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7"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54610</wp:posOffset>
            </wp:positionV>
            <wp:extent cx="1590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98"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PUBMATIC, INC.</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60960</wp:posOffset>
            </wp:positionV>
            <wp:extent cx="1590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180" w:type="dxa"/>
        <w:tblCellMar>
          <w:top w:w="0" w:type="dxa"/>
          <w:left w:w="0" w:type="dxa"/>
          <w:bottom w:w="0" w:type="dxa"/>
          <w:right w:w="0" w:type="dxa"/>
        </w:tblCellMar>
      </w:tblPr>
      <w:tr>
        <w:trPr>
          <w:trHeight w:val="229"/>
        </w:trPr>
        <w:tc>
          <w:tcPr>
            <w:tcW w:w="4720" w:type="dxa"/>
            <w:vAlign w:val="bottom"/>
          </w:tcPr>
          <w:p>
            <w:pPr>
              <w:jc w:val="center"/>
              <w:ind w:right="1121"/>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center"/>
              <w:ind w:left="1141"/>
              <w:spacing w:after="0"/>
              <w:rPr>
                <w:sz w:val="20"/>
                <w:szCs w:val="20"/>
                <w:color w:val="auto"/>
              </w:rPr>
            </w:pPr>
            <w:r>
              <w:rPr>
                <w:rFonts w:ascii="Arial" w:cs="Arial" w:eastAsia="Arial" w:hAnsi="Arial"/>
                <w:sz w:val="18"/>
                <w:szCs w:val="18"/>
                <w:b w:val="1"/>
                <w:bCs w:val="1"/>
                <w:color w:val="auto"/>
                <w:w w:val="87"/>
              </w:rPr>
              <w:t>20-5863224</w:t>
            </w:r>
          </w:p>
        </w:tc>
      </w:tr>
      <w:tr>
        <w:trPr>
          <w:trHeight w:val="215"/>
        </w:trPr>
        <w:tc>
          <w:tcPr>
            <w:tcW w:w="4720" w:type="dxa"/>
            <w:vAlign w:val="bottom"/>
          </w:tcPr>
          <w:p>
            <w:pPr>
              <w:jc w:val="center"/>
              <w:ind w:right="1141"/>
              <w:spacing w:after="0"/>
              <w:rPr>
                <w:sz w:val="20"/>
                <w:szCs w:val="20"/>
                <w:color w:val="auto"/>
              </w:rPr>
            </w:pPr>
            <w:r>
              <w:rPr>
                <w:rFonts w:ascii="Arial" w:cs="Arial" w:eastAsia="Arial" w:hAnsi="Arial"/>
                <w:sz w:val="14"/>
                <w:szCs w:val="14"/>
                <w:b w:val="1"/>
                <w:bCs w:val="1"/>
                <w:i w:val="1"/>
                <w:iCs w:val="1"/>
                <w:color w:val="auto"/>
                <w:w w:val="88"/>
              </w:rPr>
              <w:t>(State or other jurisdiction of incorporation or organization)</w:t>
            </w:r>
          </w:p>
        </w:tc>
        <w:tc>
          <w:tcPr>
            <w:tcW w:w="3580" w:type="dxa"/>
            <w:vAlign w:val="bottom"/>
          </w:tcPr>
          <w:p>
            <w:pPr>
              <w:jc w:val="center"/>
              <w:ind w:left="1141"/>
              <w:spacing w:after="0"/>
              <w:rPr>
                <w:sz w:val="20"/>
                <w:szCs w:val="20"/>
                <w:color w:val="auto"/>
              </w:rPr>
            </w:pPr>
            <w:r>
              <w:rPr>
                <w:rFonts w:ascii="Arial" w:cs="Arial" w:eastAsia="Arial" w:hAnsi="Arial"/>
                <w:sz w:val="14"/>
                <w:szCs w:val="14"/>
                <w:b w:val="1"/>
                <w:bCs w:val="1"/>
                <w:i w:val="1"/>
                <w:iCs w:val="1"/>
                <w:color w:val="auto"/>
                <w:w w:val="90"/>
              </w:rPr>
              <w:t>(I.R.S. Employer Identification Number)</w:t>
            </w:r>
          </w:p>
        </w:tc>
      </w:tr>
      <w:tr>
        <w:trPr>
          <w:trHeight w:val="315"/>
        </w:trPr>
        <w:tc>
          <w:tcPr>
            <w:tcW w:w="4720" w:type="dxa"/>
            <w:vAlign w:val="bottom"/>
          </w:tcPr>
          <w:p>
            <w:pPr>
              <w:jc w:val="center"/>
              <w:ind w:right="1141"/>
              <w:spacing w:after="0"/>
              <w:rPr>
                <w:sz w:val="20"/>
                <w:szCs w:val="20"/>
                <w:color w:val="auto"/>
              </w:rPr>
            </w:pPr>
            <w:r>
              <w:rPr>
                <w:rFonts w:ascii="Arial" w:cs="Arial" w:eastAsia="Arial" w:hAnsi="Arial"/>
                <w:sz w:val="18"/>
                <w:szCs w:val="18"/>
                <w:b w:val="1"/>
                <w:bCs w:val="1"/>
                <w:color w:val="auto"/>
                <w:w w:val="89"/>
              </w:rPr>
              <w:t>Not applicable</w:t>
            </w:r>
          </w:p>
        </w:tc>
        <w:tc>
          <w:tcPr>
            <w:tcW w:w="3580" w:type="dxa"/>
            <w:vAlign w:val="bottom"/>
          </w:tcPr>
          <w:p>
            <w:pPr>
              <w:jc w:val="center"/>
              <w:ind w:left="1141"/>
              <w:spacing w:after="0"/>
              <w:rPr>
                <w:sz w:val="20"/>
                <w:szCs w:val="20"/>
                <w:color w:val="auto"/>
              </w:rPr>
            </w:pPr>
            <w:r>
              <w:rPr>
                <w:rFonts w:ascii="Arial" w:cs="Arial" w:eastAsia="Arial" w:hAnsi="Arial"/>
                <w:sz w:val="18"/>
                <w:szCs w:val="18"/>
                <w:b w:val="1"/>
                <w:bCs w:val="1"/>
                <w:color w:val="auto"/>
                <w:w w:val="87"/>
              </w:rPr>
              <w:t>Not applicable</w:t>
            </w:r>
          </w:p>
        </w:tc>
      </w:tr>
      <w:tr>
        <w:trPr>
          <w:trHeight w:val="215"/>
        </w:trPr>
        <w:tc>
          <w:tcPr>
            <w:tcW w:w="4720" w:type="dxa"/>
            <w:vAlign w:val="bottom"/>
          </w:tcPr>
          <w:p>
            <w:pPr>
              <w:jc w:val="center"/>
              <w:ind w:right="1121"/>
              <w:spacing w:after="0"/>
              <w:rPr>
                <w:sz w:val="20"/>
                <w:szCs w:val="20"/>
                <w:color w:val="auto"/>
              </w:rPr>
            </w:pPr>
            <w:r>
              <w:rPr>
                <w:rFonts w:ascii="Arial" w:cs="Arial" w:eastAsia="Arial" w:hAnsi="Arial"/>
                <w:sz w:val="14"/>
                <w:szCs w:val="14"/>
                <w:color w:val="auto"/>
                <w:w w:val="93"/>
              </w:rPr>
              <w:t>(Address of principal executive offices)</w:t>
            </w:r>
          </w:p>
        </w:tc>
        <w:tc>
          <w:tcPr>
            <w:tcW w:w="3580" w:type="dxa"/>
            <w:vAlign w:val="bottom"/>
          </w:tcPr>
          <w:p>
            <w:pPr>
              <w:jc w:val="center"/>
              <w:ind w:left="1141"/>
              <w:spacing w:after="0"/>
              <w:rPr>
                <w:sz w:val="20"/>
                <w:szCs w:val="20"/>
                <w:color w:val="auto"/>
              </w:rPr>
            </w:pPr>
            <w:r>
              <w:rPr>
                <w:rFonts w:ascii="Arial" w:cs="Arial" w:eastAsia="Arial" w:hAnsi="Arial"/>
                <w:sz w:val="14"/>
                <w:szCs w:val="14"/>
                <w:color w:val="auto"/>
                <w:w w:val="96"/>
              </w:rPr>
              <w:t>(Zip Code)</w:t>
            </w:r>
          </w:p>
        </w:tc>
      </w:tr>
    </w:tbl>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136525</wp:posOffset>
            </wp:positionV>
            <wp:extent cx="1590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p>
      <w:pPr>
        <w:ind w:left="1580"/>
        <w:spacing w:after="0"/>
        <w:tabs>
          <w:tab w:leader="none" w:pos="5020" w:val="left"/>
          <w:tab w:leader="none" w:pos="72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64" w:lineRule="exact"/>
        <w:rPr>
          <w:sz w:val="24"/>
          <w:szCs w:val="24"/>
          <w:color w:val="auto"/>
        </w:rPr>
      </w:pPr>
    </w:p>
    <w:p>
      <w:pPr>
        <w:ind w:left="400"/>
        <w:spacing w:after="0"/>
        <w:tabs>
          <w:tab w:leader="none" w:pos="5380" w:val="left"/>
          <w:tab w:leader="none" w:pos="7920" w:val="left"/>
        </w:tabs>
        <w:rPr>
          <w:sz w:val="20"/>
          <w:szCs w:val="20"/>
          <w:color w:val="auto"/>
        </w:rPr>
      </w:pPr>
      <w:r>
        <w:rPr>
          <w:rFonts w:ascii="Arial" w:cs="Arial" w:eastAsia="Arial" w:hAnsi="Arial"/>
          <w:sz w:val="18"/>
          <w:szCs w:val="18"/>
          <w:color w:val="auto"/>
        </w:rPr>
        <w:t>Class A common stock, $0.0001 par value per share</w:t>
      </w:r>
      <w:r>
        <w:rPr>
          <w:sz w:val="20"/>
          <w:szCs w:val="20"/>
          <w:color w:val="auto"/>
        </w:rPr>
        <w:tab/>
      </w:r>
      <w:r>
        <w:rPr>
          <w:rFonts w:ascii="Arial" w:cs="Arial" w:eastAsia="Arial" w:hAnsi="Arial"/>
          <w:sz w:val="18"/>
          <w:szCs w:val="18"/>
          <w:color w:val="auto"/>
        </w:rPr>
        <w:t>PUBM</w:t>
      </w:r>
      <w:r>
        <w:rPr>
          <w:sz w:val="20"/>
          <w:szCs w:val="20"/>
          <w:color w:val="auto"/>
        </w:rPr>
        <w:tab/>
      </w:r>
      <w:r>
        <w:rPr>
          <w:rFonts w:ascii="Arial" w:cs="Arial" w:eastAsia="Arial" w:hAnsi="Arial"/>
          <w:sz w:val="15"/>
          <w:szCs w:val="15"/>
          <w:color w:val="auto"/>
        </w:rPr>
        <w:t>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229870</wp:posOffset>
            </wp:positionV>
            <wp:extent cx="1590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60"/>
        <w:spacing w:after="0" w:line="28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ind w:right="240"/>
        <w:spacing w:after="0" w:line="28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09" w:lineRule="exact"/>
        <w:rPr>
          <w:sz w:val="24"/>
          <w:szCs w:val="24"/>
          <w:color w:val="auto"/>
        </w:rPr>
      </w:pPr>
    </w:p>
    <w:p>
      <w:pPr>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80" w:type="dxa"/>
            <w:vAlign w:val="bottom"/>
            <w:vMerge w:val="restart"/>
          </w:tcPr>
          <w:p>
            <w:pPr>
              <w:ind w:left="360"/>
              <w:spacing w:after="0" w:line="211" w:lineRule="exact"/>
              <w:rPr>
                <w:sz w:val="20"/>
                <w:szCs w:val="20"/>
                <w:color w:val="auto"/>
              </w:rPr>
            </w:pPr>
            <w:r>
              <w:rPr>
                <w:rFonts w:ascii="MS PGothic" w:cs="MS PGothic" w:eastAsia="MS PGothic" w:hAnsi="MS PGothic"/>
                <w:sz w:val="21"/>
                <w:szCs w:val="21"/>
                <w:color w:val="auto"/>
              </w:rPr>
              <w:t>☒</w:t>
            </w:r>
          </w:p>
        </w:tc>
        <w:tc>
          <w:tcPr>
            <w:tcW w:w="450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1740" w:type="dxa"/>
            <w:vAlign w:val="bottom"/>
            <w:vMerge w:val="restart"/>
          </w:tcPr>
          <w:p>
            <w:pPr>
              <w:ind w:left="1620"/>
              <w:spacing w:after="0"/>
              <w:rPr>
                <w:sz w:val="20"/>
                <w:szCs w:val="20"/>
                <w:color w:val="auto"/>
              </w:rPr>
            </w:pPr>
            <w:r>
              <w:rPr>
                <w:rFonts w:ascii="Arial" w:cs="Arial" w:eastAsia="Arial" w:hAnsi="Arial"/>
                <w:sz w:val="21"/>
                <w:szCs w:val="21"/>
                <w:color w:val="auto"/>
                <w:w w:val="85"/>
              </w:rPr>
              <w:t>o</w:t>
            </w:r>
          </w:p>
        </w:tc>
        <w:tc>
          <w:tcPr>
            <w:tcW w:w="0" w:type="dxa"/>
            <w:vAlign w:val="bottom"/>
          </w:tcPr>
          <w:p>
            <w:pPr>
              <w:spacing w:after="0"/>
              <w:rPr>
                <w:sz w:val="1"/>
                <w:szCs w:val="1"/>
                <w:color w:val="auto"/>
              </w:rPr>
            </w:pPr>
          </w:p>
        </w:tc>
      </w:tr>
      <w:tr>
        <w:trPr>
          <w:trHeight w:val="123"/>
        </w:trPr>
        <w:tc>
          <w:tcPr>
            <w:tcW w:w="16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45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sectPr>
          <w:pgSz w:w="11900" w:h="16838" w:orient="portrait"/>
          <w:cols w:equalWidth="0" w:num="1">
            <w:col w:w="11180"/>
          </w:cols>
          <w:pgMar w:left="320" w:top="1278" w:right="399" w:bottom="1440" w:gutter="0" w:footer="0" w:header="0"/>
        </w:sect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200" w:lineRule="exact"/>
        <w:rPr>
          <w:sz w:val="24"/>
          <w:szCs w:val="24"/>
          <w:color w:val="auto"/>
        </w:rPr>
      </w:pPr>
    </w:p>
    <w:p>
      <w:pPr>
        <w:sectPr>
          <w:pgSz w:w="11900" w:h="16838" w:orient="portrait"/>
          <w:cols w:equalWidth="0" w:num="4">
            <w:col w:w="1280" w:space="720"/>
            <w:col w:w="3340" w:space="720"/>
            <w:col w:w="3460" w:space="720"/>
            <w:col w:w="940"/>
          </w:cols>
          <w:pgMar w:left="320" w:top="1278" w:right="399" w:bottom="1440" w:gutter="0" w:footer="0" w:header="0"/>
          <w:type w:val="continuous"/>
        </w:sectPr>
      </w:pPr>
    </w:p>
    <w:p>
      <w:pPr>
        <w:spacing w:after="0" w:line="63" w:lineRule="exact"/>
        <w:rPr>
          <w:sz w:val="24"/>
          <w:szCs w:val="24"/>
          <w:color w:val="auto"/>
        </w:rPr>
      </w:pPr>
    </w:p>
    <w:p>
      <w:pPr>
        <w:ind w:right="140"/>
        <w:spacing w:after="0" w:line="28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As of August 1, 2022, the registrant had 42,675,776 shares of Class A common stock outstanding and 9,706,641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0" w:type="dxa"/>
            <w:vAlign w:val="bottom"/>
            <w:gridSpan w:val="14"/>
          </w:tcPr>
          <w:p>
            <w:pPr>
              <w:ind w:left="7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gridSpan w:val="12"/>
            <w:vMerge w:val="restart"/>
          </w:tcPr>
          <w:p>
            <w:pPr>
              <w:jc w:val="center"/>
              <w:ind w:right="260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gridSpan w:val="1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60" w:type="dxa"/>
            <w:vAlign w:val="bottom"/>
            <w:gridSpan w:val="16"/>
          </w:tcPr>
          <w:p>
            <w:pPr>
              <w:spacing w:after="0"/>
              <w:rPr>
                <w:rFonts w:ascii="Arial" w:cs="Arial" w:eastAsia="Arial" w:hAnsi="Arial"/>
                <w:sz w:val="18"/>
                <w:szCs w:val="18"/>
                <w:b w:val="1"/>
                <w:bCs w:val="1"/>
                <w:color w:val="0000FF"/>
                <w:w w:val="87"/>
              </w:rPr>
            </w:pPr>
            <w:hyperlink w:anchor="page3">
              <w:r>
                <w:rPr>
                  <w:rFonts w:ascii="Arial" w:cs="Arial" w:eastAsia="Arial" w:hAnsi="Arial"/>
                  <w:sz w:val="18"/>
                  <w:szCs w:val="18"/>
                  <w:b w:val="1"/>
                  <w:bCs w:val="1"/>
                  <w:color w:val="0000FF"/>
                  <w:w w:val="87"/>
                </w:rPr>
                <w:t>Condensed Consolidated Financial Statements (Unaudited)</w:t>
              </w:r>
            </w:hyperlink>
          </w:p>
        </w:tc>
        <w:tc>
          <w:tcPr>
            <w:tcW w:w="4620" w:type="dxa"/>
            <w:vAlign w:val="bottom"/>
            <w:gridSpan w:val="5"/>
          </w:tcPr>
          <w:p>
            <w:pPr>
              <w:spacing w:after="0"/>
              <w:rPr>
                <w:sz w:val="19"/>
                <w:szCs w:val="19"/>
                <w:color w:val="auto"/>
              </w:rPr>
            </w:pPr>
          </w:p>
        </w:tc>
        <w:tc>
          <w:tcPr>
            <w:tcW w:w="62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7"/>
          </w:tcPr>
          <w:p>
            <w:pPr>
              <w:spacing w:after="0" w:line="205"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Condensed Consolidated Balance Sheets</w:t>
              </w:r>
            </w:hyperlink>
          </w:p>
        </w:tc>
        <w:tc>
          <w:tcPr>
            <w:tcW w:w="1260" w:type="dxa"/>
            <w:vAlign w:val="bottom"/>
            <w:gridSpan w:val="8"/>
          </w:tcPr>
          <w:p>
            <w:pPr>
              <w:spacing w:after="0"/>
              <w:rPr>
                <w:sz w:val="17"/>
                <w:szCs w:val="17"/>
                <w:color w:val="auto"/>
              </w:rPr>
            </w:pPr>
          </w:p>
        </w:tc>
        <w:tc>
          <w:tcPr>
            <w:tcW w:w="4620" w:type="dxa"/>
            <w:vAlign w:val="bottom"/>
            <w:gridSpan w:val="5"/>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0"/>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17"/>
          </w:tcPr>
          <w:p>
            <w:pPr>
              <w:spacing w:after="0" w:line="20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Statements of Comprehensive Income</w:t>
              </w:r>
            </w:hyperlink>
          </w:p>
        </w:tc>
        <w:tc>
          <w:tcPr>
            <w:tcW w:w="4260" w:type="dxa"/>
            <w:vAlign w:val="bottom"/>
            <w:gridSpan w:val="3"/>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17"/>
          </w:tcPr>
          <w:p>
            <w:pPr>
              <w:spacing w:after="0" w:line="205"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Stockholders’ Equity</w:t>
              </w:r>
            </w:hyperlink>
          </w:p>
        </w:tc>
        <w:tc>
          <w:tcPr>
            <w:tcW w:w="4260" w:type="dxa"/>
            <w:vAlign w:val="bottom"/>
            <w:gridSpan w:val="3"/>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gridSpan w:val="16"/>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4460" w:type="dxa"/>
            <w:vAlign w:val="bottom"/>
            <w:gridSpan w:val="4"/>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12"/>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Notes to Condensed Consolidated Financial Statements</w:t>
              </w:r>
            </w:hyperlink>
          </w:p>
        </w:tc>
        <w:tc>
          <w:tcPr>
            <w:tcW w:w="4840" w:type="dxa"/>
            <w:vAlign w:val="bottom"/>
            <w:gridSpan w:val="8"/>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Management’s Discussion and Analysis of Financial Condition and Results of Operations</w:t>
              </w:r>
            </w:hyperlink>
          </w:p>
        </w:tc>
        <w:tc>
          <w:tcPr>
            <w:tcW w:w="27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20">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FF"/>
            </w:tcBorders>
            <w:gridSpan w:val="15"/>
          </w:tcPr>
          <w:p>
            <w:pPr>
              <w:spacing w:after="0" w:line="205"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Quantitative and Qualitative Disclosures About Market Risk</w:t>
              </w:r>
            </w:hyperlink>
          </w:p>
        </w:tc>
        <w:tc>
          <w:tcPr>
            <w:tcW w:w="48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33</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9080" w:type="dxa"/>
            <w:vAlign w:val="bottom"/>
            <w:gridSpan w:val="21"/>
          </w:tcPr>
          <w:p>
            <w:pPr>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457"/>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9"/>
          </w:tcPr>
          <w:p>
            <w:pPr>
              <w:jc w:val="cente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 OTHER INFORMATION</w:t>
              </w:r>
            </w:hyperlink>
          </w:p>
        </w:tc>
        <w:tc>
          <w:tcPr>
            <w:tcW w:w="27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80" w:type="dxa"/>
            <w:vAlign w:val="bottom"/>
            <w:gridSpan w:val="2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62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w:t>
            </w:r>
          </w:p>
        </w:tc>
        <w:tc>
          <w:tcPr>
            <w:tcW w:w="130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778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0" w:type="dxa"/>
            <w:vAlign w:val="bottom"/>
          </w:tcPr>
          <w:p>
            <w:pPr>
              <w:spacing w:after="0"/>
              <w:rPr>
                <w:sz w:val="1"/>
                <w:szCs w:val="1"/>
                <w:color w:val="auto"/>
              </w:rPr>
            </w:pPr>
          </w:p>
        </w:tc>
      </w:tr>
      <w:tr>
        <w:trPr>
          <w:trHeight w:val="193"/>
        </w:trPr>
        <w:tc>
          <w:tcPr>
            <w:tcW w:w="1640" w:type="dxa"/>
            <w:vAlign w:val="bottom"/>
            <w:gridSpan w:val="3"/>
          </w:tcPr>
          <w:p>
            <w:pPr>
              <w:ind w:left="340"/>
              <w:spacing w:after="0" w:line="193" w:lineRule="exact"/>
              <w:rPr>
                <w:sz w:val="20"/>
                <w:szCs w:val="20"/>
                <w:color w:val="auto"/>
              </w:rPr>
            </w:pPr>
            <w:r>
              <w:rPr>
                <w:rFonts w:ascii="Arial" w:cs="Arial" w:eastAsia="Arial" w:hAnsi="Arial"/>
                <w:sz w:val="18"/>
                <w:szCs w:val="18"/>
                <w:color w:val="auto"/>
              </w:rPr>
              <w:t>1A.</w:t>
            </w:r>
          </w:p>
        </w:tc>
        <w:tc>
          <w:tcPr>
            <w:tcW w:w="3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980" w:type="dxa"/>
            <w:vAlign w:val="bottom"/>
            <w:gridSpan w:val="2"/>
          </w:tcPr>
          <w:p>
            <w:pPr>
              <w:spacing w:after="0" w:line="185" w:lineRule="exact"/>
              <w:rPr>
                <w:sz w:val="20"/>
                <w:szCs w:val="20"/>
                <w:color w:val="auto"/>
              </w:rPr>
            </w:pPr>
            <w:r>
              <w:rPr>
                <w:rFonts w:ascii="Arial" w:cs="Arial" w:eastAsia="Arial" w:hAnsi="Arial"/>
                <w:sz w:val="18"/>
                <w:szCs w:val="18"/>
                <w:color w:val="auto"/>
              </w:rPr>
              <w:t>Item 2.</w:t>
            </w:r>
          </w:p>
        </w:tc>
        <w:tc>
          <w:tcPr>
            <w:tcW w:w="9080" w:type="dxa"/>
            <w:vAlign w:val="bottom"/>
            <w:gridSpan w:val="21"/>
          </w:tcPr>
          <w:p>
            <w:pPr>
              <w:spacing w:after="0" w:line="185" w:lineRule="exact"/>
              <w:rPr>
                <w:rFonts w:ascii="Arial" w:cs="Arial" w:eastAsia="Arial" w:hAnsi="Arial"/>
                <w:sz w:val="18"/>
                <w:szCs w:val="18"/>
                <w:color w:val="0000FF"/>
              </w:rPr>
            </w:pPr>
            <w:hyperlink w:anchor="page64">
              <w:r>
                <w:rPr>
                  <w:rFonts w:ascii="Arial" w:cs="Arial" w:eastAsia="Arial" w:hAnsi="Arial"/>
                  <w:sz w:val="18"/>
                  <w:szCs w:val="18"/>
                  <w:color w:val="0000FF"/>
                </w:rPr>
                <w:t>Unregistered Sales of Equity Securities and Use of Proceeds</w:t>
              </w:r>
            </w:hyperlink>
          </w:p>
        </w:tc>
        <w:tc>
          <w:tcPr>
            <w:tcW w:w="620" w:type="dxa"/>
            <w:vAlign w:val="bottom"/>
            <w:gridSpan w:val="4"/>
          </w:tcPr>
          <w:p>
            <w:pPr>
              <w:jc w:val="right"/>
              <w:spacing w:after="0" w:line="185" w:lineRule="exact"/>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FF"/>
            </w:tcBorders>
            <w:gridSpan w:val="14"/>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Defaults Upon Senior Securities</w:t>
              </w:r>
            </w:hyperlink>
          </w:p>
        </w:tc>
        <w:tc>
          <w:tcPr>
            <w:tcW w:w="482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64">
              <w:r>
                <w:rPr>
                  <w:rFonts w:ascii="Arial" w:cs="Arial" w:eastAsia="Arial" w:hAnsi="Arial"/>
                  <w:sz w:val="15"/>
                  <w:szCs w:val="15"/>
                  <w:color w:val="0000FF"/>
                  <w:w w:val="71"/>
                </w:rPr>
                <w:t>62</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68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right"/>
              <w:spacing w:after="0"/>
              <w:rPr>
                <w:rFonts w:ascii="Arial" w:cs="Arial" w:eastAsia="Arial" w:hAnsi="Arial"/>
                <w:sz w:val="15"/>
                <w:szCs w:val="15"/>
                <w:color w:val="0000FF"/>
                <w:w w:val="71"/>
              </w:rPr>
            </w:pPr>
            <w:hyperlink w:anchor="page64">
              <w:r>
                <w:rPr>
                  <w:rFonts w:ascii="Arial" w:cs="Arial" w:eastAsia="Arial" w:hAnsi="Arial"/>
                  <w:sz w:val="15"/>
                  <w:szCs w:val="15"/>
                  <w:color w:val="0000FF"/>
                  <w:w w:val="71"/>
                </w:rPr>
                <w:t>62</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9080" w:type="dxa"/>
            <w:vAlign w:val="bottom"/>
            <w:gridSpan w:val="21"/>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Other Information</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64">
              <w:r>
                <w:rPr>
                  <w:rFonts w:ascii="Arial" w:cs="Arial" w:eastAsia="Arial" w:hAnsi="Arial"/>
                  <w:sz w:val="18"/>
                  <w:szCs w:val="18"/>
                  <w:color w:val="0000FF"/>
                </w:rPr>
                <w:t>Exhibits</w:t>
              </w:r>
            </w:hyperlink>
          </w:p>
        </w:tc>
        <w:tc>
          <w:tcPr>
            <w:tcW w:w="78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64">
              <w:r>
                <w:rPr>
                  <w:rFonts w:ascii="Arial" w:cs="Arial" w:eastAsia="Arial" w:hAnsi="Arial"/>
                  <w:sz w:val="15"/>
                  <w:szCs w:val="15"/>
                  <w:color w:val="0000FF"/>
                  <w:w w:val="71"/>
                </w:rPr>
                <w:t>63</w:t>
              </w:r>
            </w:hyperlink>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rFonts w:ascii="Arial" w:cs="Arial" w:eastAsia="Arial" w:hAnsi="Arial"/>
                <w:sz w:val="18"/>
                <w:szCs w:val="18"/>
                <w:color w:val="0000FF"/>
              </w:rPr>
            </w:pPr>
            <w:hyperlink w:anchor="page65">
              <w:r>
                <w:rPr>
                  <w:rFonts w:ascii="Arial" w:cs="Arial" w:eastAsia="Arial" w:hAnsi="Arial"/>
                  <w:sz w:val="18"/>
                  <w:szCs w:val="18"/>
                  <w:color w:val="0000FF"/>
                </w:rPr>
                <w:t>Signatures</w:t>
              </w:r>
            </w:hyperlink>
          </w:p>
        </w:tc>
        <w:tc>
          <w:tcPr>
            <w:tcW w:w="3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65">
              <w:r>
                <w:rPr>
                  <w:rFonts w:ascii="Arial" w:cs="Arial" w:eastAsia="Arial" w:hAnsi="Arial"/>
                  <w:sz w:val="15"/>
                  <w:szCs w:val="15"/>
                  <w:color w:val="0000FF"/>
                  <w:w w:val="71"/>
                </w:rPr>
                <w:t>64</w:t>
              </w:r>
            </w:hyperlink>
          </w:p>
        </w:tc>
        <w:tc>
          <w:tcPr>
            <w:tcW w:w="0" w:type="dxa"/>
            <w:vAlign w:val="bottom"/>
          </w:tcPr>
          <w:p>
            <w:pPr>
              <w:spacing w:after="0"/>
              <w:rPr>
                <w:sz w:val="1"/>
                <w:szCs w:val="1"/>
                <w:color w:val="auto"/>
              </w:rPr>
            </w:pPr>
          </w:p>
        </w:tc>
      </w:tr>
      <w:tr>
        <w:trPr>
          <w:trHeight w:val="1656"/>
        </w:trPr>
        <w:tc>
          <w:tcPr>
            <w:tcW w:w="6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400" w:type="dxa"/>
            <w:vAlign w:val="bottom"/>
          </w:tcPr>
          <w:p>
            <w:pPr>
              <w:jc w:val="right"/>
              <w:ind w:right="121"/>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51,894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82,505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Accounts receivable -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286,916</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460,749</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 net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21,613</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Deferred income tax asset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570,231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550,215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244,321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18,780</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266,965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6,067</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293,035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w w:val="89"/>
              </w:rPr>
              <w:t>Preferred stock, $0.0001 par value per share, 10,000,000 shares authorized as of June 30, 2022 and December 31, 2021; No</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and outstanding as of June 30, 2022 and December 31, 2021</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w w:val="88"/>
              </w:rPr>
              <w:t>Common stock, par value $0.0001 per share; 1,000,000,000 Class A shares authorized as of June 30, 2022 and December 31,</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Arial" w:cs="Arial" w:eastAsia="Arial" w:hAnsi="Arial"/>
                <w:sz w:val="16"/>
                <w:szCs w:val="16"/>
                <w:color w:val="auto"/>
                <w:w w:val="90"/>
              </w:rPr>
              <w:t>2021; 42,599,407 and 40,695,140 shares issued and outstanding as of June 30, 2022 and December 31, 2021, respectively;</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Arial" w:cs="Arial" w:eastAsia="Arial" w:hAnsi="Arial"/>
                <w:sz w:val="16"/>
                <w:szCs w:val="16"/>
                <w:color w:val="auto"/>
                <w:w w:val="92"/>
              </w:rPr>
              <w:t>1,000,000,000 Class B shares authorized as of June 30, 2022 and December 31, 2021; 9,738,941 and 11,159,609 shares</w:t>
            </w: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issued and outstanding as of June 30, 2022 and December 31, 2021, respectively.</w:t>
            </w: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- 3,140,437 as of June 30, 2022 and December 31, 2021</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169,401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111,893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99,295</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283,916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257,180</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570,231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550,215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5"/>
                <w:szCs w:val="15"/>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93,266</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67,878</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37"/>
        </w:trPr>
        <w:tc>
          <w:tcPr>
            <w:tcW w:w="47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26,786</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0" w:type="dxa"/>
            <w:vAlign w:val="bottom"/>
          </w:tcPr>
          <w:p>
            <w:pPr>
              <w:spacing w:after="0"/>
              <w:rPr>
                <w:sz w:val="1"/>
                <w:szCs w:val="1"/>
                <w:color w:val="auto"/>
              </w:rPr>
            </w:pP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51,104</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Net income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70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Weighted-average shares used to compute net income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20"/>
              <w:spacing w:after="0"/>
              <w:rPr>
                <w:sz w:val="20"/>
                <w:szCs w:val="20"/>
                <w:color w:val="auto"/>
              </w:rPr>
            </w:pPr>
            <w:r>
              <w:rPr>
                <w:rFonts w:ascii="Arial" w:cs="Arial" w:eastAsia="Arial" w:hAnsi="Arial"/>
                <w:sz w:val="18"/>
                <w:szCs w:val="18"/>
                <w:color w:val="auto"/>
              </w:rPr>
              <w:t>attributable to common stockholders: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52,154,616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49,578,536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52,033,268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49,345,202</w:t>
            </w: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56,847,306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56,428,211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56,868,417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56,607,701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68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2"/>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8"/>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loss on marketable securities, net of tax</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14,838</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gridSpan w:val="5"/>
            <w:vMerge w:val="restart"/>
          </w:tcPr>
          <w:p>
            <w:pPr>
              <w:jc w:val="right"/>
              <w:ind w:right="22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Accumulated 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0"/>
                <w:szCs w:val="10"/>
                <w:color w:val="auto"/>
              </w:rPr>
            </w:pPr>
          </w:p>
        </w:tc>
        <w:tc>
          <w:tcPr>
            <w:tcW w:w="920" w:type="dxa"/>
            <w:vAlign w:val="bottom"/>
            <w:gridSpan w:val="4"/>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80"/>
              <w:spacing w:after="0" w:line="122" w:lineRule="exact"/>
              <w:rPr>
                <w:sz w:val="20"/>
                <w:szCs w:val="20"/>
                <w:color w:val="auto"/>
              </w:rPr>
            </w:pPr>
            <w:r>
              <w:rPr>
                <w:rFonts w:ascii="Arial" w:cs="Arial" w:eastAsia="Arial" w:hAnsi="Arial"/>
                <w:sz w:val="14"/>
                <w:szCs w:val="14"/>
                <w:b w:val="1"/>
                <w:bCs w:val="1"/>
                <w:color w:val="auto"/>
                <w:w w:val="98"/>
              </w:rPr>
              <w:t>Retained</w:t>
            </w:r>
          </w:p>
        </w:tc>
        <w:tc>
          <w:tcPr>
            <w:tcW w:w="9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1040" w:type="dxa"/>
            <w:vAlign w:val="bottom"/>
            <w:gridSpan w:val="4"/>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5"/>
                <w:szCs w:val="15"/>
                <w:color w:val="auto"/>
              </w:rPr>
            </w:pPr>
          </w:p>
        </w:tc>
        <w:tc>
          <w:tcPr>
            <w:tcW w:w="78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December 31, 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51,854,749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(11,486)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169,401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257,180</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5,469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5,469</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130,958</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Issuance of common stock related to RSU vesting</w:t>
            </w:r>
          </w:p>
        </w:tc>
        <w:tc>
          <w:tcPr>
            <w:tcW w:w="940" w:type="dxa"/>
            <w:vAlign w:val="bottom"/>
          </w:tcPr>
          <w:p>
            <w:pPr>
              <w:jc w:val="right"/>
              <w:spacing w:after="0"/>
              <w:rPr>
                <w:sz w:val="20"/>
                <w:szCs w:val="20"/>
                <w:color w:val="auto"/>
              </w:rPr>
            </w:pPr>
            <w:r>
              <w:rPr>
                <w:rFonts w:ascii="Arial" w:cs="Arial" w:eastAsia="Arial" w:hAnsi="Arial"/>
                <w:sz w:val="14"/>
                <w:szCs w:val="14"/>
                <w:color w:val="auto"/>
              </w:rPr>
              <w:t>25,033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0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0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4,779</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March 31, 2022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52,010,740</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(11,486)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175,351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104,074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267,706</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5,780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5,780</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96,276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33"/>
        </w:trPr>
        <w:tc>
          <w:tcPr>
            <w:tcW w:w="3800" w:type="dxa"/>
            <w:vAlign w:val="bottom"/>
          </w:tcPr>
          <w:p>
            <w:pPr>
              <w:ind w:left="240"/>
              <w:spacing w:after="0" w:line="133" w:lineRule="exact"/>
              <w:rPr>
                <w:sz w:val="20"/>
                <w:szCs w:val="20"/>
                <w:color w:val="auto"/>
              </w:rPr>
            </w:pPr>
            <w:r>
              <w:rPr>
                <w:rFonts w:ascii="Arial" w:cs="Arial" w:eastAsia="Arial" w:hAnsi="Arial"/>
                <w:sz w:val="14"/>
                <w:szCs w:val="14"/>
                <w:color w:val="auto"/>
                <w:w w:val="90"/>
              </w:rPr>
              <w:t>Issuance of common stock related to employee stock purchase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141,709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880" w:type="dxa"/>
            <w:vAlign w:val="bottom"/>
            <w:gridSpan w:val="4"/>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2,402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83"/>
        </w:trPr>
        <w:tc>
          <w:tcPr>
            <w:tcW w:w="3800" w:type="dxa"/>
            <w:vAlign w:val="bottom"/>
          </w:tcPr>
          <w:p>
            <w:pPr>
              <w:ind w:left="240"/>
              <w:spacing w:after="0"/>
              <w:rPr>
                <w:sz w:val="20"/>
                <w:szCs w:val="20"/>
                <w:color w:val="auto"/>
              </w:rPr>
            </w:pPr>
            <w:r>
              <w:rPr>
                <w:rFonts w:ascii="Arial" w:cs="Arial" w:eastAsia="Arial" w:hAnsi="Arial"/>
                <w:sz w:val="14"/>
                <w:szCs w:val="14"/>
                <w:color w:val="auto"/>
              </w:rPr>
              <w:t>plan</w:t>
            </w: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common stock related to RSU vesting</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89,623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80" w:type="dxa"/>
            <w:vAlign w:val="bottom"/>
            <w:gridSpan w:val="4"/>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7,819</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4"/>
                <w:szCs w:val="14"/>
                <w:color w:val="auto"/>
              </w:rPr>
              <w:t>Balance — June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52,338,348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183,890</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111,893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283,916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800" w:type="dxa"/>
            <w:vAlign w:val="bottom"/>
          </w:tcPr>
          <w:p>
            <w:pPr>
              <w:spacing w:after="0"/>
              <w:rPr>
                <w:sz w:val="24"/>
                <w:szCs w:val="24"/>
                <w:color w:val="auto"/>
              </w:rPr>
            </w:pPr>
          </w:p>
        </w:tc>
        <w:tc>
          <w:tcPr>
            <w:tcW w:w="1760" w:type="dxa"/>
            <w:vAlign w:val="bottom"/>
            <w:gridSpan w:val="5"/>
            <w:vMerge w:val="restart"/>
          </w:tcPr>
          <w:p>
            <w:pPr>
              <w:jc w:val="right"/>
              <w:ind w:right="24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0"/>
                <w:szCs w:val="10"/>
                <w:color w:val="auto"/>
              </w:rPr>
            </w:pPr>
          </w:p>
        </w:tc>
        <w:tc>
          <w:tcPr>
            <w:tcW w:w="920" w:type="dxa"/>
            <w:vAlign w:val="bottom"/>
            <w:gridSpan w:val="4"/>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0"/>
                <w:szCs w:val="10"/>
                <w:color w:val="auto"/>
              </w:rPr>
            </w:pPr>
          </w:p>
        </w:tc>
        <w:tc>
          <w:tcPr>
            <w:tcW w:w="1220" w:type="dxa"/>
            <w:vAlign w:val="bottom"/>
            <w:gridSpan w:val="3"/>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80"/>
              <w:spacing w:after="0" w:line="122" w:lineRule="exact"/>
              <w:rPr>
                <w:sz w:val="20"/>
                <w:szCs w:val="20"/>
                <w:color w:val="auto"/>
              </w:rPr>
            </w:pPr>
            <w:r>
              <w:rPr>
                <w:rFonts w:ascii="Arial" w:cs="Arial" w:eastAsia="Arial" w:hAnsi="Arial"/>
                <w:sz w:val="14"/>
                <w:szCs w:val="14"/>
                <w:b w:val="1"/>
                <w:bCs w:val="1"/>
                <w:color w:val="auto"/>
                <w:w w:val="98"/>
              </w:rPr>
              <w:t>Retained</w:t>
            </w:r>
          </w:p>
        </w:tc>
        <w:tc>
          <w:tcPr>
            <w:tcW w:w="96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1040" w:type="dxa"/>
            <w:vAlign w:val="bottom"/>
            <w:gridSpan w:val="4"/>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5"/>
                <w:szCs w:val="15"/>
                <w:color w:val="auto"/>
              </w:rPr>
            </w:pPr>
          </w:p>
        </w:tc>
        <w:tc>
          <w:tcPr>
            <w:tcW w:w="78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December 31, 2020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48,988,142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144,163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175,427</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3,318</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278,412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Repurchase of treasury stock, at cost</w:t>
            </w:r>
          </w:p>
        </w:tc>
        <w:tc>
          <w:tcPr>
            <w:tcW w:w="940" w:type="dxa"/>
            <w:vAlign w:val="bottom"/>
          </w:tcPr>
          <w:p>
            <w:pPr>
              <w:jc w:val="right"/>
              <w:spacing w:after="0"/>
              <w:rPr>
                <w:sz w:val="20"/>
                <w:szCs w:val="20"/>
                <w:color w:val="auto"/>
              </w:rPr>
            </w:pPr>
            <w:r>
              <w:rPr>
                <w:rFonts w:ascii="Arial" w:cs="Arial" w:eastAsia="Arial" w:hAnsi="Arial"/>
                <w:sz w:val="14"/>
                <w:szCs w:val="14"/>
                <w:color w:val="auto"/>
              </w:rPr>
              <w:t>(693)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4,918</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March 31, 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49,265,861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147,932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47,609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184,086</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800,426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Repurchase of treasury stock, at cost</w:t>
            </w:r>
          </w:p>
        </w:tc>
        <w:tc>
          <w:tcPr>
            <w:tcW w:w="940" w:type="dxa"/>
            <w:vAlign w:val="bottom"/>
          </w:tcPr>
          <w:p>
            <w:pPr>
              <w:jc w:val="right"/>
              <w:spacing w:after="0"/>
              <w:rPr>
                <w:sz w:val="20"/>
                <w:szCs w:val="20"/>
                <w:color w:val="auto"/>
              </w:rPr>
            </w:pPr>
            <w:r>
              <w:rPr>
                <w:rFonts w:ascii="Arial" w:cs="Arial" w:eastAsia="Arial" w:hAnsi="Arial"/>
                <w:sz w:val="14"/>
                <w:szCs w:val="14"/>
                <w:color w:val="auto"/>
              </w:rPr>
              <w:t>(449)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0"/>
              </w:rPr>
              <w:t>Issuance of common stock related to employee stock purchase</w:t>
            </w: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plan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155,015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Issuance of common stock related to RSU vesting</w:t>
            </w:r>
          </w:p>
        </w:tc>
        <w:tc>
          <w:tcPr>
            <w:tcW w:w="940" w:type="dxa"/>
            <w:vAlign w:val="bottom"/>
          </w:tcPr>
          <w:p>
            <w:pPr>
              <w:jc w:val="right"/>
              <w:spacing w:after="0"/>
              <w:rPr>
                <w:sz w:val="20"/>
                <w:szCs w:val="20"/>
                <w:color w:val="auto"/>
              </w:rPr>
            </w:pPr>
            <w:r>
              <w:rPr>
                <w:rFonts w:ascii="Arial" w:cs="Arial" w:eastAsia="Arial" w:hAnsi="Arial"/>
                <w:sz w:val="14"/>
                <w:szCs w:val="14"/>
                <w:color w:val="auto"/>
              </w:rPr>
              <w:t>21,973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10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8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4"/>
          </w:tcPr>
          <w:p>
            <w:pPr>
              <w:jc w:val="right"/>
              <w:ind w:right="1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24"/>
        </w:trPr>
        <w:tc>
          <w:tcPr>
            <w:tcW w:w="3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 June 30, 2021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50,242,826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202,081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5"/>
                <w:szCs w:val="15"/>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5"/>
                <w:szCs w:val="15"/>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8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2"/>
        </w:trPr>
        <w:tc>
          <w:tcPr>
            <w:tcW w:w="8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9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188"/>
        </w:trPr>
        <w:tc>
          <w:tcPr>
            <w:tcW w:w="8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12,598</w:t>
            </w:r>
          </w:p>
        </w:tc>
        <w:tc>
          <w:tcPr>
            <w:tcW w:w="100" w:type="dxa"/>
            <w:vAlign w:val="bottom"/>
          </w:tcPr>
          <w:p>
            <w:pPr>
              <w:spacing w:after="0"/>
              <w:rPr>
                <w:sz w:val="16"/>
                <w:szCs w:val="16"/>
                <w:color w:val="auto"/>
              </w:rPr>
            </w:pP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14,839</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14,505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9,688</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Unrealized gain on equity investment</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10,527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6,794</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(2,396)</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Accretion of discount on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Non-cash operating lease expense</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w:t>
            </w: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188"/>
        </w:trPr>
        <w:tc>
          <w:tcPr>
            <w:tcW w:w="8420" w:type="dxa"/>
            <w:vAlign w:val="bottom"/>
          </w:tcPr>
          <w:p>
            <w:pPr>
              <w:ind w:left="66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22,942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24,083</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(7,579)</w:t>
            </w:r>
          </w:p>
        </w:tc>
      </w:tr>
      <w:tr>
        <w:trPr>
          <w:trHeight w:val="188"/>
        </w:trPr>
        <w:tc>
          <w:tcPr>
            <w:tcW w:w="842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(13,698)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(15,125)</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Accrued expenses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88"/>
        </w:trPr>
        <w:tc>
          <w:tcPr>
            <w:tcW w:w="842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(1,044)</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liabilities, non-current</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39,782</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33,763</w:t>
            </w: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(12,384)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(11,808)</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(4,828)</w:t>
            </w: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(82,616)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(32,551)</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28,200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21,000</w:t>
            </w: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(73,577)</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(28,187)</w:t>
            </w: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for employee stock purchase plan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2,635</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Principal payments on finance lease obligations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for offering costs</w:t>
            </w:r>
          </w:p>
        </w:tc>
        <w:tc>
          <w:tcPr>
            <w:tcW w:w="8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Payments to acquire treasury stock</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(30,611)</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9,432</w:t>
            </w: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82,505</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81,188</w:t>
            </w:r>
          </w:p>
        </w:tc>
      </w:tr>
      <w:tr>
        <w:trPr>
          <w:trHeight w:val="205"/>
        </w:trPr>
        <w:tc>
          <w:tcPr>
            <w:tcW w:w="8420" w:type="dxa"/>
            <w:vAlign w:val="bottom"/>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51,894</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90,620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58"/>
        </w:trPr>
        <w:tc>
          <w:tcPr>
            <w:tcW w:w="842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SUPPLEMENTAL DISCLOSURES OF CASH FLOW INFORMATION:</w:t>
            </w:r>
          </w:p>
        </w:tc>
        <w:tc>
          <w:tcPr>
            <w:tcW w:w="8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212"/>
        </w:trPr>
        <w:tc>
          <w:tcPr>
            <w:tcW w:w="842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58"/>
        </w:trPr>
        <w:tc>
          <w:tcPr>
            <w:tcW w:w="842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SUPPLEMENTAL DISCLOSURES OF NON-CASH INVESTING AND FINANCING INFORMATION:</w:t>
            </w:r>
          </w:p>
        </w:tc>
        <w:tc>
          <w:tcPr>
            <w:tcW w:w="8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212"/>
        </w:trPr>
        <w:tc>
          <w:tcPr>
            <w:tcW w:w="8420" w:type="dxa"/>
            <w:vAlign w:val="bottom"/>
          </w:tcPr>
          <w:p>
            <w:pPr>
              <w:ind w:left="20"/>
              <w:spacing w:after="0"/>
              <w:rPr>
                <w:sz w:val="20"/>
                <w:szCs w:val="20"/>
                <w:color w:val="auto"/>
              </w:rPr>
            </w:pPr>
            <w:r>
              <w:rPr>
                <w:rFonts w:ascii="Arial" w:cs="Arial" w:eastAsia="Arial" w:hAnsi="Arial"/>
                <w:sz w:val="14"/>
                <w:szCs w:val="14"/>
                <w:color w:val="auto"/>
              </w:rPr>
              <w:t>Stock-based compensation capitalized as internal use software costs</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accounts payable and accrued expenses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420" w:type="dxa"/>
            <w:vAlign w:val="bottom"/>
          </w:tcPr>
          <w:p>
            <w:pPr>
              <w:ind w:left="20"/>
              <w:spacing w:after="0"/>
              <w:rPr>
                <w:sz w:val="20"/>
                <w:szCs w:val="20"/>
                <w:color w:val="auto"/>
              </w:rPr>
            </w:pPr>
            <w:r>
              <w:rPr>
                <w:rFonts w:ascii="Arial" w:cs="Arial" w:eastAsia="Arial" w:hAnsi="Arial"/>
                <w:sz w:val="14"/>
                <w:szCs w:val="14"/>
                <w:color w:val="auto"/>
              </w:rPr>
              <w:t>Capitalized software costs included in accounts payable and accrued expenses</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new lease obligations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PUBMATIC, INC. AND SUBSIDIARIES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70"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18" w:lineRule="exact"/>
        <w:rPr>
          <w:sz w:val="20"/>
          <w:szCs w:val="20"/>
          <w:color w:val="auto"/>
        </w:rPr>
      </w:pPr>
    </w:p>
    <w:p>
      <w:pPr>
        <w:ind w:right="5280"/>
        <w:spacing w:after="0" w:line="43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Fiscal Year</w:t>
      </w:r>
    </w:p>
    <w:p>
      <w:pPr>
        <w:spacing w:after="0" w:line="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Company’s fiscal year ends on December 31, and its fiscal quarters end on March 31, June 30, September 30, and December 31. References to fiscal year 2022, for example, refer to the fiscal year ended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March 1, 2022 (the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72"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June 30, 2022, including those resulting from the impacts of the COVID-19 pandemic, may result in actual outcomes that differ from those contemplated by the Company’s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stock options and shares of common stock to be issued under the ESPP is estimated using the Black Scholes option pricing model. The grant date fair value of RSUs is based on the closing market price of the Company’s Class A common stock on the date of grant. The Black Scholes option pricing model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w:t>
      </w:r>
    </w:p>
    <w:p>
      <w:pPr>
        <w:spacing w:after="0" w:line="117"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For additional information regarding stock-based compensation and the assumptions used for determining the fair value of stock options and ESPP awards, refer to Note 8 — “Stockholders’ Equity and Stock Option Plans.”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defines its revenue concentration based on revenue recognized from individual publishers. For the three months ended June 30, 2022 and 2021, one publisher represented 12% and 17%, respectively, and 13% and 18% for the six months ended June 30, 2022 and 2021, respectively, of the Company’s revenue. As of June 30, 2022, two buyers accounted for 32% and 16%, respectively, of accounts receivable. As of December 31, 2021, two buyers accounted for 29% and 19%, respectively, of accounts receivable.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842</w:t>
      </w:r>
    </w:p>
    <w:p>
      <w:pPr>
        <w:spacing w:after="0" w:line="164" w:lineRule="exact"/>
        <w:rPr>
          <w:sz w:val="20"/>
          <w:szCs w:val="20"/>
          <w:color w:val="auto"/>
        </w:rPr>
      </w:pPr>
    </w:p>
    <w:p>
      <w:pPr>
        <w:ind w:right="260" w:firstLine="318"/>
        <w:spacing w:after="0" w:line="312" w:lineRule="auto"/>
        <w:rPr>
          <w:sz w:val="20"/>
          <w:szCs w:val="20"/>
          <w:color w:val="auto"/>
        </w:rPr>
      </w:pPr>
      <w:r>
        <w:rPr>
          <w:rFonts w:ascii="Arial" w:cs="Arial" w:eastAsia="Arial" w:hAnsi="Arial"/>
          <w:sz w:val="15"/>
          <w:szCs w:val="15"/>
          <w:color w:val="auto"/>
        </w:rPr>
        <w:t>In February 2016, the FASB issued Accounting Standards Update (ASU) 2016-02, Leases (Topic ASC 842) which, along with other ASU's containing minor amendments and technical corrections, provides for a comprehensive overhaul of the lease accounting model and changes the definition of a lease within US GAAP. Topic 842 supersedes the legacy ASC Topic 840 accounting guidance and is intended to increase transparency and comparability among organizations by recognizing right-of-use (ROU) lease assets and lease liabilities on the balance sheet and requiring disclosure of key information about leasing arrangements. Lease expense continues to be recognized in a manner similar to legacy GAAP.</w:t>
      </w:r>
    </w:p>
    <w:p>
      <w:pPr>
        <w:spacing w:after="0" w:line="11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The effect of adopting Topic 842 resulted in the recognition of operating ROU assets and corresponding lease liabilities on the Company’s consolidated balance sheet. The Company adopted Topic 842 in the fourth quarter of our fiscal 2021 reflecting an initial application date of January 1, 2021 using the modified retrospective transition approach under which the adoption date of ASC 842 became the application date, with the comparative periods presented and disclosed under the ASC 840 requirements.</w:t>
      </w:r>
    </w:p>
    <w:p>
      <w:pPr>
        <w:spacing w:after="0" w:line="13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Interim financial data for the comparable prior-year quarter ended June 30, 2021 has been revised to reflect the adoption of Topic 842 and differs from what was disclosed in the prior year Form 10-Q filed on August 11, 2021. The standard did not affect the Company’s consolidated statements of operations, comprehensive income, and stockholders’ equity for the three and six months ended June 30, 2021. Though net cash provided by operating, investing, and financing activities were unchanged, the standard did affect certain operating cash flow line items within the Company’s consolidated statements of cash flows for the six months ended June 30, 2021.</w:t>
      </w:r>
    </w:p>
    <w:p>
      <w:pPr>
        <w:spacing w:after="0" w:line="15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Select condensed consolidated cash flow items, which reflects the adoption of the new standard as reported for the six months ended June 30, 2021,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Six Months Ended June 30, 2021</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1"/>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Balances without adoption of Topic 842</w:t>
            </w:r>
          </w:p>
        </w:tc>
        <w:tc>
          <w:tcPr>
            <w:tcW w:w="180" w:type="dxa"/>
            <w:vAlign w:val="bottom"/>
          </w:tcPr>
          <w:p>
            <w:pPr>
              <w:spacing w:after="0"/>
              <w:rPr>
                <w:sz w:val="15"/>
                <w:szCs w:val="15"/>
                <w:color w:val="auto"/>
              </w:rPr>
            </w:pPr>
          </w:p>
        </w:tc>
        <w:tc>
          <w:tcPr>
            <w:tcW w:w="1380" w:type="dxa"/>
            <w:vAlign w:val="bottom"/>
          </w:tcPr>
          <w:p>
            <w:pPr>
              <w:jc w:val="right"/>
              <w:ind w:right="198"/>
              <w:spacing w:after="0"/>
              <w:rPr>
                <w:sz w:val="20"/>
                <w:szCs w:val="20"/>
                <w:color w:val="auto"/>
              </w:rPr>
            </w:pPr>
            <w:r>
              <w:rPr>
                <w:rFonts w:ascii="Arial" w:cs="Arial" w:eastAsia="Arial" w:hAnsi="Arial"/>
                <w:sz w:val="14"/>
                <w:szCs w:val="14"/>
                <w:b w:val="1"/>
                <w:bCs w:val="1"/>
                <w:color w:val="auto"/>
                <w:w w:val="97"/>
              </w:rPr>
              <w:t>Effect of Change</w:t>
            </w:r>
          </w:p>
        </w:tc>
      </w:tr>
      <w:tr>
        <w:trPr>
          <w:trHeight w:val="187"/>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(As previously reported in the prior year</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5"/>
                <w:szCs w:val="15"/>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10-Q)</w:t>
            </w:r>
          </w:p>
        </w:tc>
        <w:tc>
          <w:tcPr>
            <w:tcW w:w="180" w:type="dxa"/>
            <w:vAlign w:val="bottom"/>
          </w:tcPr>
          <w:p>
            <w:pPr>
              <w:spacing w:after="0"/>
              <w:rPr>
                <w:sz w:val="15"/>
                <w:szCs w:val="15"/>
                <w:color w:val="auto"/>
              </w:rPr>
            </w:pPr>
          </w:p>
        </w:tc>
        <w:tc>
          <w:tcPr>
            <w:tcW w:w="1380" w:type="dxa"/>
            <w:vAlign w:val="bottom"/>
          </w:tcPr>
          <w:p>
            <w:pPr>
              <w:jc w:val="right"/>
              <w:ind w:right="218"/>
              <w:spacing w:after="0"/>
              <w:rPr>
                <w:sz w:val="20"/>
                <w:szCs w:val="20"/>
                <w:color w:val="auto"/>
              </w:rPr>
            </w:pPr>
            <w:r>
              <w:rPr>
                <w:rFonts w:ascii="Arial" w:cs="Arial" w:eastAsia="Arial" w:hAnsi="Arial"/>
                <w:sz w:val="14"/>
                <w:szCs w:val="14"/>
                <w:b w:val="1"/>
                <w:bCs w:val="1"/>
                <w:color w:val="auto"/>
              </w:rPr>
              <w:t>Higher (Lower)</w:t>
            </w:r>
          </w:p>
        </w:tc>
      </w:tr>
      <w:tr>
        <w:trPr>
          <w:trHeight w:val="24"/>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lease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65"/>
        </w:trPr>
        <w:tc>
          <w:tcPr>
            <w:tcW w:w="53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6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33,763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33,763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tcPr>
          <w:p>
            <w:pPr>
              <w:jc w:val="right"/>
              <w:ind w:right="538"/>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23,191</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23,191</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28,414</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71,337</w:t>
            </w:r>
          </w:p>
        </w:tc>
        <w:tc>
          <w:tcPr>
            <w:tcW w:w="0" w:type="dxa"/>
            <w:vAlign w:val="bottom"/>
          </w:tcPr>
          <w:p>
            <w:pPr>
              <w:spacing w:after="0"/>
              <w:rPr>
                <w:sz w:val="1"/>
                <w:szCs w:val="1"/>
                <w:color w:val="auto"/>
              </w:rPr>
            </w:pPr>
          </w:p>
        </w:tc>
      </w:tr>
      <w:tr>
        <w:trPr>
          <w:trHeight w:val="237"/>
        </w:trPr>
        <w:tc>
          <w:tcPr>
            <w:tcW w:w="582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59,760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131,097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131,097</w:t>
            </w:r>
          </w:p>
        </w:tc>
        <w:tc>
          <w:tcPr>
            <w:tcW w:w="0" w:type="dxa"/>
            <w:vAlign w:val="bottom"/>
          </w:tcPr>
          <w:p>
            <w:pPr>
              <w:spacing w:after="0"/>
              <w:rPr>
                <w:sz w:val="1"/>
                <w:szCs w:val="1"/>
                <w:color w:val="auto"/>
              </w:rPr>
            </w:pPr>
          </w:p>
        </w:tc>
      </w:tr>
      <w:tr>
        <w:trPr>
          <w:trHeight w:val="231"/>
        </w:trPr>
        <w:tc>
          <w:tcPr>
            <w:tcW w:w="5820" w:type="dxa"/>
            <w:vAlign w:val="bottom"/>
          </w:tcPr>
          <w:p>
            <w:pPr>
              <w:ind w:left="240"/>
              <w:spacing w:after="0"/>
              <w:rPr>
                <w:sz w:val="20"/>
                <w:szCs w:val="20"/>
                <w:color w:val="auto"/>
              </w:rPr>
            </w:pPr>
            <w:r>
              <w:rPr>
                <w:rFonts w:ascii="Arial" w:cs="Arial" w:eastAsia="Arial" w:hAnsi="Arial"/>
                <w:sz w:val="18"/>
                <w:szCs w:val="18"/>
                <w:color w:val="auto"/>
              </w:rPr>
              <w:t>Equity investment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58"/>
        </w:trPr>
        <w:tc>
          <w:tcPr>
            <w:tcW w:w="58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136,320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165,916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65,311</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31"/>
        </w:trPr>
        <w:tc>
          <w:tcPr>
            <w:tcW w:w="58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77,121</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77,121</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investment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right="440" w:firstLine="318"/>
        <w:spacing w:after="0" w:line="318" w:lineRule="auto"/>
        <w:rPr>
          <w:sz w:val="20"/>
          <w:szCs w:val="20"/>
          <w:color w:val="auto"/>
        </w:rPr>
      </w:pPr>
      <w:r>
        <w:rPr>
          <w:rFonts w:ascii="Arial" w:cs="Arial" w:eastAsia="Arial" w:hAnsi="Arial"/>
          <w:sz w:val="15"/>
          <w:szCs w:val="15"/>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204470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marketable securities by significant investment categories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June 30, 2022</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Gross Unrealized Loss</w:t>
            </w: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71,337</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59,760</w:t>
            </w: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Gross Unrealized Loss</w:t>
            </w: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w:t>
            </w: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remaining contractual maturity of all marketable securities was within one year as of June 30, 2022 and December 31, 2021. Realized gains and losses were inconsequential for the three and six months ended June 30, 2022 and 2021. As of June 30, 2022 and 2021, there were no securities that were in an unrealized loss position for more than twelve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equipment and software,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4"/>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30,581</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113,405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92,561</w:t>
            </w:r>
          </w:p>
        </w:tc>
      </w:tr>
      <w:tr>
        <w:trPr>
          <w:trHeight w:val="28"/>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8"/>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127,016</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(76,876)</w:t>
            </w:r>
          </w:p>
        </w:tc>
      </w:tr>
      <w:tr>
        <w:trPr>
          <w:trHeight w:val="28"/>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Depreciation and amortization expense related to property, equipment, and software (excluding amortization of internal use software) was $4.9 million and $3.4 million for the three months ended June 30, 2022 and 2021, respectively, and $9.9 million and $6.3 million for the six months ended June 30, 2022 and 2021, respectively.</w:t>
      </w:r>
    </w:p>
    <w:p>
      <w:pPr>
        <w:spacing w:after="0" w:line="148"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 capitalized $3.5 million and $2.5 million in software development costs during the three months ended June 30, 2022 and 2021, respectively, and $6.7 million and $4.6 million for the six months ended June 30, 2022 and 2021, respectively. Amortization expense of internal use software was $2.4 million and $1.8 million during the three months ended June 30, 2022 and 2021, respectively, and $4.6 million and $3.4 million for the six months ended June 30, 2022 and 2021. These costs are included within cost of revenue in the condensed consolidated statements of operations and comprehensive income.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did not recognize any impairment charges on its long-lived assets during the six months ended June 30, 2022 and 2021,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publishers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235,440</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payable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244,321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consist of the following (in thousands):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and Security Agreement</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 June 2021, the Company amended and restated its loan and security agreement (the "Loan Agreement") with Silicon Valley Bank ("SVB").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As of June 30, 2022, the applicable interest rate under the revolving line of credit was 4.75%. An unused revolver fee in the amount of 0.40% per annum of the average unused portion of the revolver line is charged and is payable quarterly in arrears in any quarter where the average closing outstanding balance is less than $5.0 million. The maturity date of the revolving line of credit is June 6, 2024. As of June 30, 2022, there were no outstanding advances under the revolving line of credit.</w:t>
      </w:r>
    </w:p>
    <w:p>
      <w:pPr>
        <w:spacing w:after="0" w:line="145" w:lineRule="exact"/>
        <w:rPr>
          <w:sz w:val="20"/>
          <w:szCs w:val="20"/>
          <w:color w:val="auto"/>
        </w:rPr>
      </w:pPr>
    </w:p>
    <w:p>
      <w:pPr>
        <w:jc w:val="both"/>
        <w:ind w:right="280" w:firstLine="318"/>
        <w:spacing w:after="0" w:line="330" w:lineRule="auto"/>
        <w:rPr>
          <w:sz w:val="20"/>
          <w:szCs w:val="20"/>
          <w:color w:val="auto"/>
        </w:rPr>
      </w:pPr>
      <w:r>
        <w:rPr>
          <w:rFonts w:ascii="Arial" w:cs="Arial" w:eastAsia="Arial" w:hAnsi="Arial"/>
          <w:sz w:val="15"/>
          <w:szCs w:val="15"/>
          <w:color w:val="auto"/>
        </w:rPr>
        <w:t>The Company’s obligations under the line of credit and the letters of credit (described in Note 7)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June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70"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Operating lease cost is recognized on a straight-line basis over the lease term. Finance lease cost is recognized as a combination of the amortization expense for the ROU assets and interest expense for the outstanding lease liabilities, and results in a front-loaded expense pattern over the lease term. The components of lease cost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87"/>
        </w:trPr>
        <w:tc>
          <w:tcPr>
            <w:tcW w:w="4280" w:type="dxa"/>
            <w:vAlign w:val="bottom"/>
          </w:tcPr>
          <w:p>
            <w:pPr>
              <w:spacing w:after="0"/>
              <w:rPr>
                <w:sz w:val="16"/>
                <w:szCs w:val="16"/>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r>
      <w:tr>
        <w:trPr>
          <w:trHeight w:val="24"/>
        </w:trPr>
        <w:tc>
          <w:tcPr>
            <w:tcW w:w="42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38"/>
        </w:trPr>
        <w:tc>
          <w:tcPr>
            <w:tcW w:w="4280" w:type="dxa"/>
            <w:vAlign w:val="bottom"/>
          </w:tcPr>
          <w:p>
            <w:pPr>
              <w:ind w:left="20"/>
              <w:spacing w:after="0"/>
              <w:rPr>
                <w:sz w:val="20"/>
                <w:szCs w:val="20"/>
                <w:color w:val="auto"/>
              </w:rPr>
            </w:pPr>
            <w:r>
              <w:rPr>
                <w:rFonts w:ascii="Arial" w:cs="Arial" w:eastAsia="Arial" w:hAnsi="Arial"/>
                <w:sz w:val="18"/>
                <w:szCs w:val="18"/>
                <w:color w:val="auto"/>
                <w:w w:val="96"/>
              </w:rPr>
              <w:t>Finance lease cost - amortization of right-of-use assets</w:t>
            </w: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interest on lease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428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No sublease income was recognized for the six months ended June 30, 2022 and 2021. Short-term and variable lease expenses are not material to the Company’s condensed financial statements.</w:t>
      </w:r>
    </w:p>
    <w:p>
      <w:pPr>
        <w:spacing w:after="0" w:line="128" w:lineRule="exact"/>
        <w:rPr>
          <w:sz w:val="20"/>
          <w:szCs w:val="20"/>
          <w:color w:val="auto"/>
        </w:rPr>
      </w:pPr>
    </w:p>
    <w:p>
      <w:pPr>
        <w:ind w:right="440" w:firstLine="318"/>
        <w:spacing w:after="0" w:line="255" w:lineRule="auto"/>
        <w:rPr>
          <w:sz w:val="20"/>
          <w:szCs w:val="20"/>
          <w:color w:val="auto"/>
        </w:rPr>
      </w:pPr>
      <w:r>
        <w:rPr>
          <w:rFonts w:ascii="Arial" w:cs="Arial" w:eastAsia="Arial" w:hAnsi="Arial"/>
          <w:sz w:val="18"/>
          <w:szCs w:val="18"/>
          <w:color w:val="auto"/>
        </w:rPr>
        <w:t>As of June 30, 2022, a weighted average discount rate of 3.03% and 2.24% has been applied to the remaining operating and finance lease payments, respectively, to calculate the lease liabilities included within the condensed consolidated balance sheet. The weighted average remaining lease term of operating and finance leases is 5.0 and 5.8 years, respectively, as of June 30, 2022.</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2022, the maturities of lease liabilities under operating and finance leases were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713"/>
              <w:spacing w:after="0"/>
              <w:rPr>
                <w:sz w:val="20"/>
                <w:szCs w:val="20"/>
                <w:color w:val="auto"/>
              </w:rPr>
            </w:pPr>
            <w:r>
              <w:rPr>
                <w:rFonts w:ascii="Arial" w:cs="Arial" w:eastAsia="Arial" w:hAnsi="Arial"/>
                <w:sz w:val="14"/>
                <w:szCs w:val="14"/>
                <w:b w:val="1"/>
                <w:bCs w:val="1"/>
                <w:color w:val="auto"/>
              </w:rPr>
              <w:t>Total</w:t>
            </w:r>
          </w:p>
        </w:tc>
      </w:tr>
      <w:tr>
        <w:trPr>
          <w:trHeight w:val="24"/>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(Remaining 6 months)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6,276</w:t>
            </w:r>
          </w:p>
        </w:tc>
      </w:tr>
      <w:tr>
        <w:trPr>
          <w:trHeight w:val="28"/>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4,988</w:t>
            </w:r>
          </w:p>
        </w:tc>
      </w:tr>
      <w:tr>
        <w:trPr>
          <w:trHeight w:val="28"/>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5,181</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30,398</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891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3"/>
              </w:rPr>
              <w:t>(53)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present value of lease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838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4"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In the normal course of business, we enter into contractual obligations with various parties, primarily relate to minimum contractual payments due to data center providers. As of June 30, 2022, our outstanding contractual obligations with a term of 12 months or longer consist of the following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Contractual Obligations</w:t>
            </w:r>
          </w:p>
        </w:tc>
      </w:tr>
      <w:tr>
        <w:trPr>
          <w:trHeight w:val="24"/>
        </w:trPr>
        <w:tc>
          <w:tcPr>
            <w:tcW w:w="9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(for remaining 6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10,231</w:t>
            </w:r>
          </w:p>
        </w:tc>
      </w:tr>
      <w:tr>
        <w:trPr>
          <w:trHeight w:val="238"/>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18,995</w:t>
            </w:r>
          </w:p>
        </w:tc>
      </w:tr>
      <w:tr>
        <w:trPr>
          <w:trHeight w:val="28"/>
        </w:trPr>
        <w:tc>
          <w:tcPr>
            <w:tcW w:w="9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38"/>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4,548</w:t>
            </w:r>
          </w:p>
        </w:tc>
      </w:tr>
      <w:tr>
        <w:trPr>
          <w:trHeight w:val="28"/>
        </w:trPr>
        <w:tc>
          <w:tcPr>
            <w:tcW w:w="9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3"/>
        </w:trPr>
        <w:tc>
          <w:tcPr>
            <w:tcW w:w="9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commitments,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June 30, 2022, the Company had two irrevocable letters of credit outstanding related to non-cancelable facilities leases in the amounts of</w:t>
      </w:r>
    </w:p>
    <w:p>
      <w:pPr>
        <w:spacing w:after="0" w:line="28"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$3.5 million and $0.5 million, with annual automatic renewal and final expiration dates in July 2028 and April 2025, respectively. As of December 31, 2021, the Company had two irrevocable letters of credit outstanding related to noncancelable facilities leases in the amounts of $3.5 million and $0.7 million, with annual automatic renewal and final expiration dates in July 2028 and June 2022,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4"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 and Stock Option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64" w:lineRule="exact"/>
        <w:rPr>
          <w:sz w:val="20"/>
          <w:szCs w:val="20"/>
          <w:color w:val="auto"/>
        </w:rPr>
      </w:pPr>
    </w:p>
    <w:p>
      <w:pPr>
        <w:ind w:right="40" w:firstLine="318"/>
        <w:spacing w:after="0" w:line="304" w:lineRule="auto"/>
        <w:rPr>
          <w:sz w:val="20"/>
          <w:szCs w:val="20"/>
          <w:color w:val="auto"/>
        </w:rPr>
      </w:pPr>
      <w:r>
        <w:rPr>
          <w:rFonts w:ascii="Arial" w:cs="Arial" w:eastAsia="Arial" w:hAnsi="Arial"/>
          <w:sz w:val="15"/>
          <w:szCs w:val="15"/>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June 30, 2022, the Company has reserved 7,587,128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4"/>
          </w:tcPr>
          <w:p>
            <w:pPr>
              <w:ind w:left="92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Weighted-Average</w:t>
            </w:r>
          </w:p>
        </w:tc>
        <w:tc>
          <w:tcPr>
            <w:tcW w:w="15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3"/>
                <w:szCs w:val="13"/>
                <w:color w:val="auto"/>
              </w:rPr>
            </w:pPr>
          </w:p>
        </w:tc>
        <w:tc>
          <w:tcPr>
            <w:tcW w:w="1340" w:type="dxa"/>
            <w:vAlign w:val="bottom"/>
          </w:tcPr>
          <w:p>
            <w:pPr>
              <w:jc w:val="right"/>
              <w:ind w:right="59"/>
              <w:spacing w:after="0" w:line="159" w:lineRule="exact"/>
              <w:rPr>
                <w:sz w:val="20"/>
                <w:szCs w:val="20"/>
                <w:color w:val="auto"/>
              </w:rPr>
            </w:pPr>
            <w:r>
              <w:rPr>
                <w:rFonts w:ascii="Arial" w:cs="Arial" w:eastAsia="Arial" w:hAnsi="Arial"/>
                <w:sz w:val="14"/>
                <w:szCs w:val="14"/>
                <w:b w:val="1"/>
                <w:bCs w:val="1"/>
                <w:color w:val="auto"/>
                <w:w w:val="92"/>
              </w:rPr>
              <w:t>Aggregate Intrinsic</w:t>
            </w:r>
          </w:p>
        </w:tc>
      </w:tr>
      <w:tr>
        <w:trPr>
          <w:trHeight w:val="184"/>
        </w:trPr>
        <w:tc>
          <w:tcPr>
            <w:tcW w:w="51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Value (in thousands)</w:t>
            </w:r>
          </w:p>
        </w:tc>
      </w:tr>
      <w:tr>
        <w:trPr>
          <w:trHeight w:val="24"/>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6,542,351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184,727</w:t>
            </w: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417,016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canceled/expired</w:t>
            </w:r>
          </w:p>
        </w:tc>
        <w:tc>
          <w:tcPr>
            <w:tcW w:w="1460" w:type="dxa"/>
            <w:vAlign w:val="bottom"/>
          </w:tcPr>
          <w:p>
            <w:pPr>
              <w:jc w:val="right"/>
              <w:spacing w:after="0"/>
              <w:rPr>
                <w:sz w:val="20"/>
                <w:szCs w:val="20"/>
                <w:color w:val="auto"/>
              </w:rPr>
            </w:pPr>
            <w:r>
              <w:rPr>
                <w:rFonts w:ascii="Arial" w:cs="Arial" w:eastAsia="Arial" w:hAnsi="Arial"/>
                <w:sz w:val="18"/>
                <w:szCs w:val="18"/>
                <w:color w:val="auto"/>
              </w:rPr>
              <w:t>(89,300)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6,642,833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4,703,363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As of June 30, 2022, unrecognized stock-based compensation of $18.1 million related to unvested stock options will be recognized on a straight-line basis over a weighted average period of 2.56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244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RSUs</w:t>
            </w:r>
          </w:p>
        </w:tc>
        <w:tc>
          <w:tcPr>
            <w:tcW w:w="1020" w:type="dxa"/>
            <w:vAlign w:val="bottom"/>
          </w:tcPr>
          <w:p>
            <w:pPr>
              <w:spacing w:after="0"/>
              <w:rPr>
                <w:sz w:val="15"/>
                <w:szCs w:val="15"/>
                <w:color w:val="auto"/>
              </w:rPr>
            </w:pPr>
          </w:p>
        </w:tc>
      </w:tr>
      <w:tr>
        <w:trPr>
          <w:trHeight w:val="24"/>
        </w:trPr>
        <w:tc>
          <w:tcPr>
            <w:tcW w:w="7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56"/>
        </w:trPr>
        <w:tc>
          <w:tcPr>
            <w:tcW w:w="7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6"/>
              </w:rPr>
              <w:t>Weighted-Average Grant</w:t>
            </w:r>
          </w:p>
        </w:tc>
      </w:tr>
      <w:tr>
        <w:trPr>
          <w:trHeight w:val="184"/>
        </w:trPr>
        <w:tc>
          <w:tcPr>
            <w:tcW w:w="7780" w:type="dxa"/>
            <w:vAlign w:val="bottom"/>
          </w:tcPr>
          <w:p>
            <w:pPr>
              <w:spacing w:after="0"/>
              <w:rPr>
                <w:sz w:val="15"/>
                <w:szCs w:val="15"/>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Date Fair Value per Share</w:t>
            </w:r>
          </w:p>
        </w:tc>
      </w:tr>
      <w:tr>
        <w:trPr>
          <w:trHeight w:val="24"/>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483,302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1,138,824</w:t>
            </w:r>
          </w:p>
        </w:tc>
        <w:tc>
          <w:tcPr>
            <w:tcW w:w="100" w:type="dxa"/>
            <w:vAlign w:val="bottom"/>
          </w:tcPr>
          <w:p>
            <w:pPr>
              <w:spacing w:after="0"/>
              <w:rPr>
                <w:sz w:val="20"/>
                <w:szCs w:val="20"/>
                <w:color w:val="auto"/>
              </w:rPr>
            </w:pPr>
          </w:p>
        </w:tc>
        <w:tc>
          <w:tcPr>
            <w:tcW w:w="660" w:type="dxa"/>
            <w:vAlign w:val="bottom"/>
          </w:tcPr>
          <w:p>
            <w:pPr>
              <w:jc w:val="right"/>
              <w:ind w:right="47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27.98</w:t>
            </w:r>
          </w:p>
        </w:tc>
      </w:tr>
      <w:tr>
        <w:trPr>
          <w:trHeight w:val="28"/>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Canceled/Forfeited</w:t>
            </w:r>
          </w:p>
        </w:tc>
        <w:tc>
          <w:tcPr>
            <w:tcW w:w="1680" w:type="dxa"/>
            <w:vAlign w:val="bottom"/>
          </w:tcPr>
          <w:p>
            <w:pPr>
              <w:jc w:val="right"/>
              <w:spacing w:after="0"/>
              <w:rPr>
                <w:sz w:val="20"/>
                <w:szCs w:val="20"/>
                <w:color w:val="auto"/>
              </w:rPr>
            </w:pPr>
            <w:r>
              <w:rPr>
                <w:rFonts w:ascii="Arial" w:cs="Arial" w:eastAsia="Arial" w:hAnsi="Arial"/>
                <w:sz w:val="18"/>
                <w:szCs w:val="18"/>
                <w:color w:val="auto"/>
              </w:rPr>
              <w:t>(74,233)</w:t>
            </w:r>
          </w:p>
        </w:tc>
        <w:tc>
          <w:tcPr>
            <w:tcW w:w="100" w:type="dxa"/>
            <w:vAlign w:val="bottom"/>
          </w:tcPr>
          <w:p>
            <w:pPr>
              <w:spacing w:after="0"/>
              <w:rPr>
                <w:sz w:val="20"/>
                <w:szCs w:val="20"/>
                <w:color w:val="auto"/>
              </w:rPr>
            </w:pPr>
          </w:p>
        </w:tc>
        <w:tc>
          <w:tcPr>
            <w:tcW w:w="660" w:type="dxa"/>
            <w:vAlign w:val="bottom"/>
          </w:tcPr>
          <w:p>
            <w:pPr>
              <w:jc w:val="right"/>
              <w:ind w:right="47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8"/>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1,433,237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60" w:firstLine="318"/>
        <w:spacing w:after="0" w:line="264" w:lineRule="auto"/>
        <w:rPr>
          <w:sz w:val="20"/>
          <w:szCs w:val="20"/>
          <w:color w:val="auto"/>
        </w:rPr>
      </w:pPr>
      <w:r>
        <w:rPr>
          <w:rFonts w:ascii="Arial" w:cs="Arial" w:eastAsia="Arial" w:hAnsi="Arial"/>
          <w:sz w:val="18"/>
          <w:szCs w:val="18"/>
          <w:color w:val="auto"/>
        </w:rPr>
        <w:t>As of June 30, 2022, unrecognized stock-based compensation of $39.5 million related to unvested RSUs will be recognized on a straight-line basis over a weighted average period of 3.34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14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June 30, 2022, the Company had reserved 571,766 shares of its Class A common stock for issuance under the ESPP.</w:t>
      </w:r>
    </w:p>
    <w:p>
      <w:pPr>
        <w:spacing w:after="0" w:line="128"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June 30, 2022, $0.2 million has been withheld on behalf of employees for a future purchase under the ESPP due to the timing of payroll deductions and is included in accrued and other current liabilities. For the six months ended June 30, 2022, there were 141,709 shares of our Class A common stock purchased under the ESPP.</w:t>
      </w:r>
    </w:p>
    <w:p>
      <w:pPr>
        <w:spacing w:after="0" w:line="112"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As of June 30, 2022, unrecognized stock-based compensation expense related to the ESPP was $1.0 million, which is expected to be recognized over a weighted-average period of 0.92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total stock-based compensation recognized in the condensed consolidated statements of operations and comprehensive income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28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4"/>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8"/>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2,059</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8"/>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r>
      <w:tr>
        <w:trPr>
          <w:trHeight w:val="238"/>
        </w:trPr>
        <w:tc>
          <w:tcPr>
            <w:tcW w:w="428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8"/>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net of tax effect</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Income Per Share Attributable to Common Stockholders</w:t>
      </w:r>
    </w:p>
    <w:p>
      <w:pPr>
        <w:spacing w:after="0" w:line="170"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The Company has two classes of common stock, Class A and Class B. Basic and diluted earnings per share (“EPS”) attributable to common stockholders for Class A and Class B common stock were the same because they were entitled to the same liquidation and dividend rights. The following table sets forth the computation of the Company’s basic and diluted net income per share (in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440"/>
              <w:spacing w:after="0"/>
              <w:rPr>
                <w:sz w:val="20"/>
                <w:szCs w:val="20"/>
                <w:color w:val="auto"/>
              </w:rPr>
            </w:pPr>
            <w:r>
              <w:rPr>
                <w:rFonts w:ascii="Arial" w:cs="Arial" w:eastAsia="Arial" w:hAnsi="Arial"/>
                <w:sz w:val="18"/>
                <w:szCs w:val="18"/>
                <w:color w:val="auto"/>
              </w:rPr>
              <w:t>Net income attributable to common stockholders - basic</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16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52,154,616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49,578,536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52,033,268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49,345,202</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income per share attributable to common stockholders – basic:</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52,154,616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49,578,536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52,033,268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49,345,202</w:t>
            </w:r>
          </w:p>
        </w:tc>
        <w:tc>
          <w:tcPr>
            <w:tcW w:w="0" w:type="dxa"/>
            <w:vAlign w:val="bottom"/>
          </w:tcPr>
          <w:p>
            <w:pPr>
              <w:spacing w:after="0"/>
              <w:rPr>
                <w:sz w:val="1"/>
                <w:szCs w:val="1"/>
                <w:color w:val="auto"/>
              </w:rPr>
            </w:pPr>
          </w:p>
        </w:tc>
      </w:tr>
      <w:tr>
        <w:trPr>
          <w:trHeight w:val="264"/>
        </w:trPr>
        <w:tc>
          <w:tcPr>
            <w:tcW w:w="6160" w:type="dxa"/>
            <w:vAlign w:val="bottom"/>
          </w:tcPr>
          <w:p>
            <w:pPr>
              <w:ind w:left="560"/>
              <w:spacing w:after="0"/>
              <w:rPr>
                <w:sz w:val="20"/>
                <w:szCs w:val="20"/>
                <w:color w:val="auto"/>
              </w:rPr>
            </w:pPr>
            <w:r>
              <w:rPr>
                <w:rFonts w:ascii="Arial" w:cs="Arial" w:eastAsia="Arial" w:hAnsi="Arial"/>
                <w:sz w:val="18"/>
                <w:szCs w:val="18"/>
                <w:color w:val="auto"/>
              </w:rPr>
              <w:t>Options to purchase common stock</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4,686,666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6,678,486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4,806,735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7,176,904</w:t>
            </w:r>
          </w:p>
        </w:tc>
        <w:tc>
          <w:tcPr>
            <w:tcW w:w="0" w:type="dxa"/>
            <w:vAlign w:val="bottom"/>
          </w:tcPr>
          <w:p>
            <w:pPr>
              <w:spacing w:after="0"/>
              <w:rPr>
                <w:sz w:val="1"/>
                <w:szCs w:val="1"/>
                <w:color w:val="auto"/>
              </w:rPr>
            </w:pPr>
          </w:p>
        </w:tc>
      </w:tr>
      <w:tr>
        <w:trPr>
          <w:trHeight w:val="266"/>
        </w:trPr>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Restricted stock</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64"/>
        </w:trPr>
        <w:tc>
          <w:tcPr>
            <w:tcW w:w="6160" w:type="dxa"/>
            <w:vAlign w:val="bottom"/>
          </w:tcPr>
          <w:p>
            <w:pPr>
              <w:ind w:left="560"/>
              <w:spacing w:after="0"/>
              <w:rPr>
                <w:sz w:val="20"/>
                <w:szCs w:val="20"/>
                <w:color w:val="auto"/>
              </w:rPr>
            </w:pPr>
            <w:r>
              <w:rPr>
                <w:rFonts w:ascii="Arial" w:cs="Arial" w:eastAsia="Arial" w:hAnsi="Arial"/>
                <w:sz w:val="18"/>
                <w:szCs w:val="18"/>
                <w:color w:val="auto"/>
              </w:rPr>
              <w:t>Employee stock purchase plan shares</w:t>
            </w:r>
          </w:p>
        </w:tc>
        <w:tc>
          <w:tcPr>
            <w:tcW w:w="22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23,228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56,539</w:t>
            </w:r>
          </w:p>
        </w:tc>
        <w:tc>
          <w:tcPr>
            <w:tcW w:w="0" w:type="dxa"/>
            <w:vAlign w:val="bottom"/>
          </w:tcPr>
          <w:p>
            <w:pPr>
              <w:spacing w:after="0"/>
              <w:rPr>
                <w:sz w:val="1"/>
                <w:szCs w:val="1"/>
                <w:color w:val="auto"/>
              </w:rPr>
            </w:pPr>
          </w:p>
        </w:tc>
      </w:tr>
      <w:tr>
        <w:trPr>
          <w:trHeight w:val="283"/>
        </w:trPr>
        <w:tc>
          <w:tcPr>
            <w:tcW w:w="61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56,847,306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56,428,211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56,868,417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56,607,701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160" w:type="dxa"/>
            <w:vAlign w:val="bottom"/>
          </w:tcPr>
          <w:p>
            <w:pPr>
              <w:ind w:left="760"/>
              <w:spacing w:after="0"/>
              <w:rPr>
                <w:sz w:val="20"/>
                <w:szCs w:val="20"/>
                <w:color w:val="auto"/>
              </w:rPr>
            </w:pPr>
            <w:r>
              <w:rPr>
                <w:rFonts w:ascii="Arial" w:cs="Arial" w:eastAsia="Arial" w:hAnsi="Arial"/>
                <w:sz w:val="18"/>
                <w:szCs w:val="18"/>
                <w:color w:val="auto"/>
                <w:w w:val="99"/>
              </w:rPr>
              <w:t>Net income per share attributable to common stockholders – diluted</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60" w:firstLine="318"/>
        <w:spacing w:after="0" w:line="262"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258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5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122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6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Options to purchase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1,050,854</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665,398</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982,298</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556,122</w:t>
            </w:r>
          </w:p>
        </w:tc>
        <w:tc>
          <w:tcPr>
            <w:tcW w:w="0" w:type="dxa"/>
            <w:vAlign w:val="bottom"/>
          </w:tcPr>
          <w:p>
            <w:pPr>
              <w:spacing w:after="0"/>
              <w:rPr>
                <w:sz w:val="1"/>
                <w:szCs w:val="1"/>
                <w:color w:val="auto"/>
              </w:rPr>
            </w:pPr>
          </w:p>
        </w:tc>
      </w:tr>
      <w:tr>
        <w:trPr>
          <w:trHeight w:val="212"/>
        </w:trPr>
        <w:tc>
          <w:tcPr>
            <w:tcW w:w="6160" w:type="dxa"/>
            <w:vAlign w:val="bottom"/>
          </w:tcPr>
          <w:p>
            <w:pPr>
              <w:ind w:left="340"/>
              <w:spacing w:after="0"/>
              <w:rPr>
                <w:sz w:val="20"/>
                <w:szCs w:val="20"/>
                <w:color w:val="auto"/>
              </w:rPr>
            </w:pPr>
            <w:r>
              <w:rPr>
                <w:rFonts w:ascii="Arial" w:cs="Arial" w:eastAsia="Arial" w:hAnsi="Arial"/>
                <w:sz w:val="17"/>
                <w:szCs w:val="17"/>
                <w:color w:val="auto"/>
              </w:rPr>
              <w:t>Unvested restricted stock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1,349,256</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1,001,158</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ESPP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6160" w:type="dxa"/>
            <w:vAlign w:val="bottom"/>
          </w:tcPr>
          <w:p>
            <w:pPr>
              <w:ind w:left="240"/>
              <w:spacing w:after="0" w:line="139" w:lineRule="exact"/>
              <w:rPr>
                <w:sz w:val="20"/>
                <w:szCs w:val="20"/>
                <w:color w:val="auto"/>
              </w:rPr>
            </w:pPr>
            <w:r>
              <w:rPr>
                <w:rFonts w:ascii="Arial" w:cs="Arial" w:eastAsia="Arial" w:hAnsi="Arial"/>
                <w:sz w:val="16"/>
                <w:szCs w:val="16"/>
                <w:color w:val="auto"/>
              </w:rPr>
              <w:t>Total excludable from net income per share attributable to common stockholders –</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2,443,430</w:t>
            </w:r>
          </w:p>
        </w:tc>
        <w:tc>
          <w:tcPr>
            <w:tcW w:w="80" w:type="dxa"/>
            <w:vAlign w:val="bottom"/>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665,398</w:t>
            </w:r>
          </w:p>
        </w:tc>
        <w:tc>
          <w:tcPr>
            <w:tcW w:w="80" w:type="dxa"/>
            <w:vAlign w:val="bottom"/>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2,015,899</w:t>
            </w:r>
          </w:p>
        </w:tc>
        <w:tc>
          <w:tcPr>
            <w:tcW w:w="80" w:type="dxa"/>
            <w:vAlign w:val="bottom"/>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556,122</w:t>
            </w:r>
          </w:p>
        </w:tc>
        <w:tc>
          <w:tcPr>
            <w:tcW w:w="0" w:type="dxa"/>
            <w:vAlign w:val="bottom"/>
          </w:tcPr>
          <w:p>
            <w:pPr>
              <w:spacing w:after="0"/>
              <w:rPr>
                <w:sz w:val="1"/>
                <w:szCs w:val="1"/>
                <w:color w:val="auto"/>
              </w:rPr>
            </w:pPr>
          </w:p>
        </w:tc>
      </w:tr>
      <w:tr>
        <w:trPr>
          <w:trHeight w:val="190"/>
        </w:trPr>
        <w:tc>
          <w:tcPr>
            <w:tcW w:w="6160" w:type="dxa"/>
            <w:vAlign w:val="bottom"/>
          </w:tcPr>
          <w:p>
            <w:pPr>
              <w:ind w:left="400"/>
              <w:spacing w:after="0" w:line="185" w:lineRule="exact"/>
              <w:rPr>
                <w:sz w:val="20"/>
                <w:szCs w:val="20"/>
                <w:color w:val="auto"/>
              </w:rPr>
            </w:pPr>
            <w:r>
              <w:rPr>
                <w:rFonts w:ascii="Arial" w:cs="Arial" w:eastAsia="Arial" w:hAnsi="Arial"/>
                <w:sz w:val="17"/>
                <w:szCs w:val="17"/>
                <w:color w:val="auto"/>
              </w:rPr>
              <w:t>diluted</w:t>
            </w: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pretax income and adjusts the provision for discrete tax items recorded in the period.</w:t>
      </w:r>
    </w:p>
    <w:p>
      <w:pPr>
        <w:spacing w:after="0" w:line="141"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Company recorded a provision for income taxes of $1.9 million and a benefit of less than $0.1 million for the three months ended June 30, 2022 and 2021, respectively, and $3.3 million and $1.9 million for the six months ended June 30, 2022 and 2021, respectively.</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 effective income tax rate was 20% and —% for the three months ended June 30, 2022 and 2021, respectively, and 21% and 11% for the six months ended June 30, 2022 and 2021, respectively. The income tax provision for the six months ended June 30, 2022 is related to an incremental increase in the foreign derived intangible income (FDII) deduction partially offset by global intangible low-taxed income (GILTI), Section 162(m) limitation on the tax deductibility of officers compensation and other effects created by the capitalization and amortization of R&amp;D expenses for tax purposes starting on January 1, 2022, which was primarily due to a change in Section 174 of the Tax Cuts and Jobs Act of 2017.</w:t>
      </w:r>
    </w:p>
    <w:p>
      <w:pPr>
        <w:spacing w:after="0" w:line="141" w:lineRule="exact"/>
        <w:rPr>
          <w:sz w:val="20"/>
          <w:szCs w:val="20"/>
          <w:color w:val="auto"/>
        </w:rPr>
      </w:pPr>
    </w:p>
    <w:p>
      <w:pPr>
        <w:ind w:right="580" w:firstLine="318"/>
        <w:spacing w:after="0" w:line="252"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represents total revenue by geographic area based on the publisher’s billing address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4"/>
        </w:trPr>
        <w:tc>
          <w:tcPr>
            <w:tcW w:w="4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38,278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30,076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57,484</w:t>
            </w:r>
          </w:p>
        </w:tc>
      </w:tr>
      <w:tr>
        <w:trPr>
          <w:trHeight w:val="238"/>
        </w:trPr>
        <w:tc>
          <w:tcPr>
            <w:tcW w:w="4260" w:type="dxa"/>
            <w:vAlign w:val="bottom"/>
          </w:tcPr>
          <w:p>
            <w:pPr>
              <w:ind w:left="20"/>
              <w:spacing w:after="0"/>
              <w:rPr>
                <w:sz w:val="20"/>
                <w:szCs w:val="20"/>
                <w:color w:val="auto"/>
              </w:rPr>
            </w:pPr>
            <w:r>
              <w:rPr>
                <w:rFonts w:ascii="Arial" w:cs="Arial" w:eastAsia="Arial" w:hAnsi="Arial"/>
                <w:sz w:val="18"/>
                <w:szCs w:val="18"/>
                <w:color w:val="auto"/>
              </w:rPr>
              <w:t>EMEA</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17,044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14,445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25,755</w:t>
            </w:r>
          </w:p>
        </w:tc>
      </w:tr>
      <w:tr>
        <w:trPr>
          <w:trHeight w:val="28"/>
        </w:trPr>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r>
      <w:tr>
        <w:trPr>
          <w:trHeight w:val="238"/>
        </w:trPr>
        <w:tc>
          <w:tcPr>
            <w:tcW w:w="426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7"/>
        </w:trPr>
        <w:tc>
          <w:tcPr>
            <w:tcW w:w="4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63,032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49,658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36"/>
        </w:trPr>
        <w:tc>
          <w:tcPr>
            <w:tcW w:w="7780" w:type="dxa"/>
            <w:vAlign w:val="bottom"/>
            <w:gridSpan w:val="7"/>
          </w:tcPr>
          <w:p>
            <w:pPr>
              <w:ind w:left="320"/>
              <w:spacing w:after="0"/>
              <w:rPr>
                <w:sz w:val="20"/>
                <w:szCs w:val="20"/>
                <w:color w:val="auto"/>
              </w:rPr>
            </w:pPr>
            <w:r>
              <w:rPr>
                <w:rFonts w:ascii="Arial" w:cs="Arial" w:eastAsia="Arial" w:hAnsi="Arial"/>
                <w:sz w:val="18"/>
                <w:szCs w:val="18"/>
                <w:color w:val="auto"/>
                <w:w w:val="92"/>
              </w:rPr>
              <w:t>The Company’s long-lived assets, net by geographic area are summarized as follows (in thousands):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3"/>
        </w:trPr>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4"/>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 2021</w:t>
            </w:r>
          </w:p>
        </w:tc>
      </w:tr>
      <w:tr>
        <w:trPr>
          <w:trHeight w:val="24"/>
        </w:trPr>
        <w:tc>
          <w:tcPr>
            <w:tcW w:w="4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42,059</w:t>
            </w:r>
          </w:p>
        </w:tc>
      </w:tr>
      <w:tr>
        <w:trPr>
          <w:trHeight w:val="22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401(k) Plan</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$0.7 million in matching contribution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401(k) Plan for the six months ended June 30, 2022 and no matching contribution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156"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99"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106"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2021 included in our Annual Report on Form 10-K filed with the U.S. Securities and Exchange Commission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128" w:lineRule="exact"/>
        <w:rPr>
          <w:sz w:val="20"/>
          <w:szCs w:val="20"/>
          <w:color w:val="auto"/>
        </w:rPr>
      </w:pPr>
    </w:p>
    <w:p>
      <w:pPr>
        <w:ind w:right="460" w:firstLine="318"/>
        <w:spacing w:after="0" w:line="250"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w:t>
      </w:r>
    </w:p>
    <w:p>
      <w:pPr>
        <w:spacing w:after="0" w:line="15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In June 2022, our platform efficiently processed approximately 409 billion ad impressions daily, each in a fraction of a second. As of June 30, 2022, we served approximately 1,550 publishers and app developers representing over 87,000 individual domains and apps worldwide on our platform across a diverse group of content verticals such as news, e-commerce, gaming, media, weather, fashion, technology, and more, including many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leading digital companies such as Yahoo, formerly Verizon Media Group, and News Corp. We have demonstrated that we can retain and grow revenues from our publisher customers, as evidenced by our net dollar-based retention rate of 130% for the trailing twelve months ended June 30, 2022 and 150% for the trailing twelve months ended June 30, 2021.</w:t>
      </w:r>
    </w:p>
    <w:p>
      <w:pPr>
        <w:spacing w:after="0" w:line="148" w:lineRule="exact"/>
        <w:rPr>
          <w:sz w:val="20"/>
          <w:szCs w:val="20"/>
          <w:color w:val="auto"/>
        </w:rPr>
      </w:pPr>
    </w:p>
    <w:p>
      <w:pPr>
        <w:jc w:val="both"/>
        <w:ind w:right="140" w:firstLine="318"/>
        <w:spacing w:after="0" w:line="252"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3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56"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In the second quarter of 2022, mobile (including mobile video) and video (including OTT/CTV) combined comprised approximately 72% of our revenue. We anticipate mobile to continue increasing as a percentage of our total impressions and revenue in the future. We further expect video to constitute an increasingly important component of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0"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The COVID-19 pandemic and its variants resulted, and may continue to result, in a global slowdown of economic activity across a broad variety of goods and services, including those provided by certain of the advertisers on our platform. This situation could also potentially limit our ad buyers’ budgets or disrupt sales channels and advertising and marketing activities generally. As new variants of COVID-19 emerge and global governments take a variety of approaches to limiting its spread, these disruptive effects may continue for an unknown period of time, with varied effects across markets. With the decline in economic activity, our revenue growth slowed and turned negative in the second quarter of 2020. Although our revenue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 See “Risk Factors” for further discussion of the adverse impacts of the COVID-19 pandemic on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financial highlights of our business performance: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5"/>
                <w:szCs w:val="15"/>
                <w:color w:val="auto"/>
              </w:rPr>
            </w:pPr>
          </w:p>
        </w:tc>
        <w:tc>
          <w:tcPr>
            <w:tcW w:w="266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4"/>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63,032</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117,584</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93,266</w:t>
            </w:r>
          </w:p>
        </w:tc>
      </w:tr>
      <w:tr>
        <w:trPr>
          <w:trHeight w:val="238"/>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9,794</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0"/>
                <w:szCs w:val="20"/>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14,377</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16,774</w:t>
            </w:r>
          </w:p>
        </w:tc>
      </w:tr>
      <w:tr>
        <w:trPr>
          <w:trHeight w:val="28"/>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12,598</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65"/>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23,048</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23"/>
                <w:szCs w:val="23"/>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40,054</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33,088</w:t>
            </w:r>
          </w:p>
        </w:tc>
      </w:tr>
      <w:tr>
        <w:trPr>
          <w:trHeight w:val="26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20,468</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39,782</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ind w:left="320" w:hanging="314"/>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For a definition of Adjusted EBITDA, an explanation of our management’s use of this measure, and a reconciliation of Adjusted EBITDA to net income, see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164" w:lineRule="exact"/>
        <w:rPr>
          <w:sz w:val="20"/>
          <w:szCs w:val="20"/>
          <w:color w:val="auto"/>
        </w:rPr>
      </w:pPr>
    </w:p>
    <w:p>
      <w:pPr>
        <w:ind w:right="100" w:firstLine="636"/>
        <w:spacing w:after="0" w:line="271" w:lineRule="auto"/>
        <w:rPr>
          <w:sz w:val="20"/>
          <w:szCs w:val="20"/>
          <w:color w:val="auto"/>
        </w:rPr>
      </w:pPr>
      <w:r>
        <w:rPr>
          <w:rFonts w:ascii="Arial" w:cs="Arial" w:eastAsia="Arial" w:hAnsi="Arial"/>
          <w:sz w:val="17"/>
          <w:szCs w:val="17"/>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36.2 trillion and 20.2 trillion for the three months ended June 30,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164"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470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164" w:lineRule="exact"/>
        <w:rPr>
          <w:sz w:val="20"/>
          <w:szCs w:val="20"/>
          <w:color w:val="auto"/>
        </w:rPr>
      </w:pPr>
    </w:p>
    <w:p>
      <w:pPr>
        <w:ind w:right="20" w:firstLine="636"/>
        <w:spacing w:after="0" w:line="305" w:lineRule="auto"/>
        <w:rPr>
          <w:sz w:val="20"/>
          <w:szCs w:val="20"/>
          <w:color w:val="auto"/>
        </w:rPr>
      </w:pPr>
      <w:r>
        <w:rPr>
          <w:rFonts w:ascii="Arial" w:cs="Arial" w:eastAsia="Arial" w:hAnsi="Arial"/>
          <w:sz w:val="15"/>
          <w:szCs w:val="15"/>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164" w:lineRule="exact"/>
        <w:rPr>
          <w:sz w:val="20"/>
          <w:szCs w:val="20"/>
          <w:color w:val="auto"/>
        </w:rPr>
      </w:pPr>
    </w:p>
    <w:p>
      <w:pPr>
        <w:ind w:right="100" w:firstLine="636"/>
        <w:spacing w:after="0" w:line="265"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636"/>
        <w:spacing w:after="0" w:line="248" w:lineRule="auto"/>
        <w:rPr>
          <w:sz w:val="20"/>
          <w:szCs w:val="20"/>
          <w:color w:val="auto"/>
        </w:rPr>
      </w:pPr>
      <w:r>
        <w:rPr>
          <w:rFonts w:ascii="Arial" w:cs="Arial" w:eastAsia="Arial" w:hAnsi="Arial"/>
          <w:sz w:val="18"/>
          <w:szCs w:val="18"/>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130% for the trailing twelve months ended June 30, 2022 and 150% for the trailing twelve months ended June 30, 2021.</w:t>
      </w:r>
    </w:p>
    <w:p>
      <w:pPr>
        <w:spacing w:after="0" w:line="159" w:lineRule="exact"/>
        <w:rPr>
          <w:sz w:val="20"/>
          <w:szCs w:val="20"/>
          <w:color w:val="auto"/>
        </w:rPr>
      </w:pPr>
    </w:p>
    <w:p>
      <w:pPr>
        <w:ind w:right="40" w:firstLine="636"/>
        <w:spacing w:after="0" w:line="312" w:lineRule="auto"/>
        <w:rPr>
          <w:sz w:val="20"/>
          <w:szCs w:val="20"/>
          <w:color w:val="auto"/>
        </w:rPr>
      </w:pPr>
      <w:r>
        <w:rPr>
          <w:rFonts w:ascii="Arial" w:cs="Arial" w:eastAsia="Arial" w:hAnsi="Arial"/>
          <w:sz w:val="15"/>
          <w:szCs w:val="15"/>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164" w:lineRule="exact"/>
        <w:rPr>
          <w:sz w:val="20"/>
          <w:szCs w:val="20"/>
          <w:color w:val="auto"/>
        </w:rPr>
      </w:pPr>
    </w:p>
    <w:p>
      <w:pPr>
        <w:ind w:right="100" w:firstLine="636"/>
        <w:spacing w:after="0" w:line="305" w:lineRule="auto"/>
        <w:rPr>
          <w:sz w:val="20"/>
          <w:szCs w:val="20"/>
          <w:color w:val="auto"/>
        </w:rPr>
      </w:pPr>
      <w:r>
        <w:rPr>
          <w:rFonts w:ascii="Arial" w:cs="Arial" w:eastAsia="Arial" w:hAnsi="Arial"/>
          <w:sz w:val="15"/>
          <w:szCs w:val="15"/>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164" w:lineRule="exact"/>
        <w:rPr>
          <w:sz w:val="20"/>
          <w:szCs w:val="20"/>
          <w:color w:val="auto"/>
        </w:rPr>
      </w:pPr>
    </w:p>
    <w:p>
      <w:pPr>
        <w:ind w:right="60" w:firstLine="636"/>
        <w:spacing w:after="0" w:line="306" w:lineRule="auto"/>
        <w:rPr>
          <w:sz w:val="20"/>
          <w:szCs w:val="20"/>
          <w:color w:val="auto"/>
        </w:rPr>
      </w:pPr>
      <w:r>
        <w:rPr>
          <w:rFonts w:ascii="Arial" w:cs="Arial" w:eastAsia="Arial" w:hAnsi="Arial"/>
          <w:sz w:val="15"/>
          <w:szCs w:val="15"/>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164"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infrastructure and adjacent sales offices, or by expanding our infrastructure footprint and placing personnel directly in those markets. Our ability to efficiently expand into new markets will affect our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164" w:lineRule="exact"/>
        <w:rPr>
          <w:sz w:val="20"/>
          <w:szCs w:val="20"/>
          <w:color w:val="auto"/>
        </w:rPr>
      </w:pPr>
    </w:p>
    <w:p>
      <w:pPr>
        <w:ind w:right="220" w:firstLine="636"/>
        <w:spacing w:after="0" w:line="252"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0" w:lineRule="exact"/>
        <w:rPr>
          <w:sz w:val="20"/>
          <w:szCs w:val="20"/>
          <w:color w:val="auto"/>
        </w:rPr>
      </w:pPr>
    </w:p>
    <w:p>
      <w:pPr>
        <w:ind w:right="120" w:firstLine="636"/>
        <w:spacing w:after="0" w:line="252"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2640" w:type="dxa"/>
            <w:vAlign w:val="bottom"/>
            <w:gridSpan w:val="4"/>
          </w:tcPr>
          <w:p>
            <w:pPr>
              <w:jc w:val="center"/>
              <w:ind w:left="503"/>
              <w:spacing w:after="0"/>
              <w:rPr>
                <w:sz w:val="20"/>
                <w:szCs w:val="20"/>
                <w:color w:val="auto"/>
              </w:rPr>
            </w:pPr>
            <w:r>
              <w:rPr>
                <w:rFonts w:ascii="Arial" w:cs="Arial" w:eastAsia="Arial" w:hAnsi="Arial"/>
                <w:sz w:val="14"/>
                <w:szCs w:val="14"/>
                <w:b w:val="1"/>
                <w:bCs w:val="1"/>
                <w:color w:val="auto"/>
                <w:w w:val="91"/>
              </w:rPr>
              <w:t>Three Months Ended June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center"/>
              <w:ind w:right="28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4"/>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4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4"/>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3"/>
          </w:tcPr>
          <w:p>
            <w:pPr>
              <w:jc w:val="center"/>
              <w:ind w:right="301"/>
              <w:spacing w:after="0"/>
              <w:rPr>
                <w:sz w:val="20"/>
                <w:szCs w:val="20"/>
                <w:color w:val="auto"/>
              </w:rPr>
            </w:pPr>
            <w:r>
              <w:rPr>
                <w:rFonts w:ascii="Arial" w:cs="Arial" w:eastAsia="Arial" w:hAnsi="Arial"/>
                <w:sz w:val="14"/>
                <w:szCs w:val="14"/>
                <w:b w:val="1"/>
                <w:bCs w:val="1"/>
                <w:color w:val="auto"/>
                <w:w w:val="89"/>
              </w:rPr>
              <w:t>(in thousands)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9"/>
                <w:szCs w:val="19"/>
                <w:color w:val="auto"/>
              </w:rPr>
            </w:pPr>
          </w:p>
        </w:tc>
      </w:tr>
      <w:tr>
        <w:trPr>
          <w:trHeight w:val="24"/>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14,839</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w:t>
            </w:r>
          </w:p>
        </w:tc>
      </w:tr>
      <w:tr>
        <w:trPr>
          <w:trHeight w:val="256"/>
        </w:trPr>
        <w:tc>
          <w:tcPr>
            <w:tcW w:w="46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7,321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5,138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9,688</w:t>
            </w:r>
          </w:p>
        </w:tc>
      </w:tr>
      <w:tr>
        <w:trPr>
          <w:trHeight w:val="274"/>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equity investment</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6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67"/>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65"/>
        </w:trPr>
        <w:tc>
          <w:tcPr>
            <w:tcW w:w="4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23,048</w:t>
            </w:r>
          </w:p>
        </w:tc>
        <w:tc>
          <w:tcPr>
            <w:tcW w:w="100" w:type="dxa"/>
            <w:vAlign w:val="bottom"/>
          </w:tcPr>
          <w:p>
            <w:pPr>
              <w:spacing w:after="0"/>
              <w:rPr>
                <w:sz w:val="23"/>
                <w:szCs w:val="23"/>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18,594</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40,054</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33,088</w:t>
            </w:r>
          </w:p>
        </w:tc>
      </w:tr>
      <w:tr>
        <w:trPr>
          <w:trHeight w:val="20"/>
        </w:trPr>
        <w:tc>
          <w:tcPr>
            <w:tcW w:w="4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80" w:firstLine="636"/>
        <w:spacing w:after="0" w:line="277" w:lineRule="auto"/>
        <w:rPr>
          <w:sz w:val="20"/>
          <w:szCs w:val="20"/>
          <w:color w:val="auto"/>
        </w:rPr>
      </w:pPr>
      <w:r>
        <w:rPr>
          <w:rFonts w:ascii="Arial" w:cs="Arial" w:eastAsia="Arial" w:hAnsi="Arial"/>
          <w:sz w:val="17"/>
          <w:szCs w:val="17"/>
          <w:color w:val="auto"/>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860" w:firstLine="318"/>
        <w:spacing w:after="0" w:line="437" w:lineRule="auto"/>
        <w:rPr>
          <w:sz w:val="20"/>
          <w:szCs w:val="20"/>
          <w:color w:val="auto"/>
        </w:rPr>
      </w:pPr>
      <w:r>
        <w:rPr>
          <w:rFonts w:ascii="Arial" w:cs="Arial" w:eastAsia="Arial" w:hAnsi="Arial"/>
          <w:sz w:val="18"/>
          <w:szCs w:val="18"/>
          <w:color w:val="auto"/>
        </w:rPr>
        <w:t xml:space="preserve">Our revenue recognition policies are discussed in more detail under “Critical Accounting Policies and Estimates.” </w:t>
      </w:r>
      <w:r>
        <w:rPr>
          <w:rFonts w:ascii="Arial" w:cs="Arial" w:eastAsia="Arial" w:hAnsi="Arial"/>
          <w:sz w:val="18"/>
          <w:szCs w:val="18"/>
          <w:b w:val="1"/>
          <w:bCs w:val="1"/>
          <w:i w:val="1"/>
          <w:iCs w:val="1"/>
          <w:color w:val="auto"/>
        </w:rPr>
        <w:t>Cost of Revenue</w:t>
      </w:r>
    </w:p>
    <w:p>
      <w:pPr>
        <w:spacing w:after="0" w:line="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141"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consist of personnel costs, including salaries, bonuses, stock-based compensation, and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06"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13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 required for internal controls. As a result, we expect general and administrative expenses to increase in absolute dollars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64"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Total other income (expense), net consists of interest income, unrealized gain on equity investment and other income (expense), net. Interest income is generated by investing excess cash into money market accounts and marketable securities. Unrealized gain on equity investment consists of gains and losses on our investment in equity securities, including unrealized gains and losses from market price changes on securities we continue to hold. Other income (expense), net consists primarily of gains and losses from foreign currency exchange transactions.</w:t>
      </w:r>
    </w:p>
    <w:p>
      <w:pPr>
        <w:spacing w:after="0" w:line="137"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The provision for (benefit from)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06"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and stock-based compensation.</w:t>
      </w:r>
    </w:p>
    <w:p>
      <w:pPr>
        <w:spacing w:after="0" w:line="128" w:lineRule="exact"/>
        <w:rPr>
          <w:sz w:val="20"/>
          <w:szCs w:val="20"/>
          <w:color w:val="auto"/>
        </w:rPr>
      </w:pPr>
    </w:p>
    <w:p>
      <w:pPr>
        <w:ind w:right="440" w:firstLine="318"/>
        <w:spacing w:after="0" w:line="330" w:lineRule="auto"/>
        <w:rPr>
          <w:sz w:val="20"/>
          <w:szCs w:val="20"/>
          <w:color w:val="auto"/>
        </w:rPr>
      </w:pPr>
      <w:r>
        <w:rPr>
          <w:rFonts w:ascii="Arial" w:cs="Arial" w:eastAsia="Arial" w:hAnsi="Arial"/>
          <w:sz w:val="15"/>
          <w:szCs w:val="15"/>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set forth our condensed consolidated results of operations data and such data as a percentage of revenue for the periods presented.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64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63,032</w:t>
            </w:r>
          </w:p>
        </w:tc>
        <w:tc>
          <w:tcPr>
            <w:tcW w:w="80" w:type="dxa"/>
            <w:vAlign w:val="bottom"/>
          </w:tcPr>
          <w:p>
            <w:pPr>
              <w:spacing w:after="0"/>
              <w:rPr>
                <w:sz w:val="20"/>
                <w:szCs w:val="20"/>
                <w:color w:val="auto"/>
              </w:rPr>
            </w:pP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49,658</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117,584</w:t>
            </w:r>
          </w:p>
        </w:tc>
        <w:tc>
          <w:tcPr>
            <w:tcW w:w="10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93,266</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18,974</w:t>
            </w:r>
          </w:p>
        </w:tc>
        <w:tc>
          <w:tcPr>
            <w:tcW w:w="8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13,088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25,388</w:t>
            </w:r>
          </w:p>
        </w:tc>
      </w:tr>
      <w:tr>
        <w:trPr>
          <w:trHeight w:val="231"/>
        </w:trPr>
        <w:tc>
          <w:tcPr>
            <w:tcW w:w="470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44,058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36,570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80,618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67,878</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7,599</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18,212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26,786</w:t>
            </w: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10,977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16,719</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34,264</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26,437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51,104</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10,133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16,774</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9,746</w:t>
            </w:r>
          </w:p>
        </w:tc>
        <w:tc>
          <w:tcPr>
            <w:tcW w:w="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16,735</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14,839</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Amounts include stock-based compensation before tax benefit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10"/>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7"/>
          </w:tcPr>
          <w:p>
            <w:pPr>
              <w:jc w:val="center"/>
              <w:ind w:right="194"/>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7"/>
          </w:tcPr>
          <w:p>
            <w:pPr>
              <w:ind w:left="920"/>
              <w:spacing w:after="0"/>
              <w:rPr>
                <w:sz w:val="20"/>
                <w:szCs w:val="20"/>
                <w:color w:val="auto"/>
              </w:rPr>
            </w:pPr>
            <w:r>
              <w:rPr>
                <w:rFonts w:ascii="Arial" w:cs="Arial" w:eastAsia="Arial" w:hAnsi="Arial"/>
                <w:sz w:val="14"/>
                <w:szCs w:val="14"/>
                <w:b w:val="1"/>
                <w:bCs w:val="1"/>
                <w:color w:val="auto"/>
                <w:w w:val="95"/>
              </w:rPr>
              <w:t>(in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6"/>
          </w:tcPr>
          <w:p>
            <w:pPr>
              <w:jc w:val="center"/>
              <w:ind w:left="796"/>
              <w:spacing w:after="0"/>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Borders>
              <w:bottom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60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2,059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5,391</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3,629</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10"/>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7"/>
          </w:tcPr>
          <w:p>
            <w:pPr>
              <w:jc w:val="right"/>
              <w:ind w:right="7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94"/>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center"/>
              <w:ind w:right="3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10"/>
          </w:tcPr>
          <w:p>
            <w:pPr>
              <w:ind w:left="360"/>
              <w:spacing w:after="0"/>
              <w:rPr>
                <w:sz w:val="20"/>
                <w:szCs w:val="20"/>
                <w:color w:val="auto"/>
              </w:rPr>
            </w:pPr>
            <w:r>
              <w:rPr>
                <w:rFonts w:ascii="Arial" w:cs="Arial" w:eastAsia="Arial" w:hAnsi="Arial"/>
                <w:sz w:val="14"/>
                <w:szCs w:val="14"/>
                <w:b w:val="1"/>
                <w:bCs w:val="1"/>
                <w:color w:val="auto"/>
              </w:rPr>
              <w:t>(as percentage of revenue)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7"/>
          </w:tcPr>
          <w:p>
            <w:pPr>
              <w:jc w:val="right"/>
              <w:ind w:right="794"/>
              <w:spacing w:after="0"/>
              <w:rPr>
                <w:sz w:val="20"/>
                <w:szCs w:val="20"/>
                <w:color w:val="auto"/>
              </w:rPr>
            </w:pPr>
            <w:r>
              <w:rPr>
                <w:rFonts w:ascii="Arial" w:cs="Arial" w:eastAsia="Arial" w:hAnsi="Arial"/>
                <w:sz w:val="14"/>
                <w:szCs w:val="14"/>
                <w:b w:val="1"/>
                <w:bCs w:val="1"/>
                <w:color w:val="auto"/>
              </w:rPr>
              <w:t>(as percentage of revenue)</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44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1"/>
        </w:trPr>
        <w:tc>
          <w:tcPr>
            <w:tcW w:w="44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8"/>
        </w:trPr>
        <w:tc>
          <w:tcPr>
            <w:tcW w:w="446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4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10"/>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2"/>
                <w:szCs w:val="2"/>
                <w:color w:val="auto"/>
              </w:rPr>
            </w:pPr>
          </w:p>
        </w:tc>
        <w:tc>
          <w:tcPr>
            <w:tcW w:w="1160" w:type="dxa"/>
            <w:vAlign w:val="bottom"/>
            <w:vMerge w:val="restart"/>
          </w:tcPr>
          <w:p>
            <w:pPr>
              <w:jc w:val="center"/>
              <w:ind w:right="394"/>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7"/>
          </w:tcPr>
          <w:p>
            <w:pPr>
              <w:ind w:left="560"/>
              <w:spacing w:after="0"/>
              <w:rPr>
                <w:sz w:val="20"/>
                <w:szCs w:val="20"/>
                <w:color w:val="auto"/>
              </w:rPr>
            </w:pPr>
            <w:r>
              <w:rPr>
                <w:rFonts w:ascii="Arial" w:cs="Arial" w:eastAsia="Arial" w:hAnsi="Arial"/>
                <w:sz w:val="14"/>
                <w:szCs w:val="14"/>
                <w:b w:val="1"/>
                <w:bCs w:val="1"/>
                <w:color w:val="auto"/>
                <w:w w:val="87"/>
              </w:rPr>
              <w:t>(dollars 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63,032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49,658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18,974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44,058</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36,570</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3"/>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10"/>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2"/>
                <w:szCs w:val="2"/>
                <w:color w:val="auto"/>
              </w:rPr>
            </w:pPr>
          </w:p>
        </w:tc>
        <w:tc>
          <w:tcPr>
            <w:tcW w:w="1160" w:type="dxa"/>
            <w:vAlign w:val="bottom"/>
            <w:vMerge w:val="restart"/>
          </w:tcPr>
          <w:p>
            <w:pPr>
              <w:jc w:val="center"/>
              <w:ind w:right="394"/>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7"/>
          </w:tcPr>
          <w:p>
            <w:pPr>
              <w:ind w:left="560"/>
              <w:spacing w:after="0"/>
              <w:rPr>
                <w:sz w:val="20"/>
                <w:szCs w:val="20"/>
                <w:color w:val="auto"/>
              </w:rPr>
            </w:pPr>
            <w:r>
              <w:rPr>
                <w:rFonts w:ascii="Arial" w:cs="Arial" w:eastAsia="Arial" w:hAnsi="Arial"/>
                <w:sz w:val="14"/>
                <w:szCs w:val="14"/>
                <w:b w:val="1"/>
                <w:bCs w:val="1"/>
                <w:color w:val="auto"/>
                <w:w w:val="87"/>
              </w:rPr>
              <w:t>(dollars 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117,584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36,966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25,388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11,578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80,618</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67,878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Revenue for the three months ended June 30, 2022 increased by $13.4 million, or 27%, compared to the three months ended June 30, 2021. Revenue for the six months ended June 30, 2022 increased by $24.3 million, or 26%, compared to the six months ended June 30, 2021. The growth in these periods was driven by increased impressions processed on our platform from both existing and new publishers.</w:t>
      </w:r>
    </w:p>
    <w:p>
      <w:pPr>
        <w:spacing w:after="0" w:line="135" w:lineRule="exact"/>
        <w:rPr>
          <w:sz w:val="20"/>
          <w:szCs w:val="20"/>
          <w:color w:val="auto"/>
        </w:rPr>
      </w:pPr>
    </w:p>
    <w:p>
      <w:pPr>
        <w:jc w:val="both"/>
        <w:ind w:right="160" w:firstLine="318"/>
        <w:spacing w:after="0" w:line="271" w:lineRule="auto"/>
        <w:rPr>
          <w:sz w:val="20"/>
          <w:szCs w:val="20"/>
          <w:color w:val="auto"/>
        </w:rPr>
      </w:pPr>
      <w:r>
        <w:rPr>
          <w:rFonts w:ascii="Arial" w:cs="Arial" w:eastAsia="Arial" w:hAnsi="Arial"/>
          <w:sz w:val="17"/>
          <w:szCs w:val="17"/>
          <w:color w:val="auto"/>
        </w:rPr>
        <w:t>As of June 30, 2022, we served approximately 1,550 publishers and app developers worldwide on our platform, which represented over 63,000 domains and 24,000 apps in total, compared to approximately 1,300 publishers and app developers worldwide, which represented approximately 65,000 domains and 32,000 apps in total as of June 30, 2021. For purposes of our publisher count, we aggregate multiple business accounts from separate divisions, segments or subsidiaries into a single “master” publisher based on our assessment of the related nature of the group.</w:t>
      </w:r>
    </w:p>
    <w:p>
      <w:pPr>
        <w:spacing w:after="0" w:line="13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expect revenue to continue to grow in 2022 with mobile and omnichannel video, which is the combination of short form video and OTT/CTV, as our primary growth drivers.</w:t>
      </w:r>
    </w:p>
    <w:p>
      <w:pPr>
        <w:spacing w:after="0" w:line="141"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Cost of revenue increased $5.9 million for the three months ended June 30, 2022 compared to the three months ended June 30, 2021, primarily due to a $2.1 million increase in depreciation of data center equipment and amortization of internal use software, a $1.8 million increase in data centers costs, a $0.4 million increase in professional fees, a $1.1 million increase in support and maintenance costs, and a $0.5 million increase in personnel costs as headcount increased, and higher stock-based compensation costs. Overall, our cost of revenue per impression processed for the three months ended June 30, 2022 decreased by approximately 19% compared to the three months ended June 30, 2021.</w:t>
      </w:r>
    </w:p>
    <w:p>
      <w:pPr>
        <w:spacing w:after="0" w:line="128"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Cost of revenue increased $11.6 million for the six months ended June 30, 2022 compared to the six months ended June 30, 2021, primarily due to a $4.7 million increase in depreciation of data center equipment and amortization of internal use software, a $3.7 million increase in data center costs, a $0.5 million increase in professional fees, a $1.8 million increase in support and maintenance costs, and a $0.9 million increase in personnel costs as headcount increased, and higher stock-based compensation costs.</w:t>
      </w:r>
    </w:p>
    <w:p>
      <w:pPr>
        <w:spacing w:after="0" w:line="151" w:lineRule="exact"/>
        <w:rPr>
          <w:sz w:val="20"/>
          <w:szCs w:val="20"/>
          <w:color w:val="auto"/>
        </w:rPr>
      </w:pPr>
    </w:p>
    <w:p>
      <w:pPr>
        <w:ind w:right="140" w:firstLine="305"/>
        <w:spacing w:after="0" w:line="255" w:lineRule="auto"/>
        <w:rPr>
          <w:sz w:val="20"/>
          <w:szCs w:val="20"/>
          <w:color w:val="auto"/>
        </w:rPr>
      </w:pPr>
      <w:r>
        <w:rPr>
          <w:rFonts w:ascii="Arial" w:cs="Arial" w:eastAsia="Arial" w:hAnsi="Arial"/>
          <w:sz w:val="18"/>
          <w:szCs w:val="18"/>
          <w:color w:val="auto"/>
        </w:rPr>
        <w:t>Our gross margin of 70% for the three months ended June 30, 2022 decreased compared to 74% for the three months ended June 30, 2021, and our gross margin of 69% for the six months ended June 30, 2022 decreased compared to 73% for the six months ended June 30, 2021, primarily due to the timing of infrastructure investments.</w:t>
      </w:r>
    </w:p>
    <w:p>
      <w:pPr>
        <w:spacing w:after="0" w:line="14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We expect the cost of revenue to be higher in 2022 compared to 2021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5"/>
                <w:szCs w:val="15"/>
                <w:color w:val="auto"/>
              </w:rPr>
            </w:pPr>
          </w:p>
        </w:tc>
        <w:tc>
          <w:tcPr>
            <w:tcW w:w="2740" w:type="dxa"/>
            <w:vAlign w:val="bottom"/>
            <w:gridSpan w:val="3"/>
          </w:tcPr>
          <w:p>
            <w:pPr>
              <w:jc w:val="center"/>
              <w:ind w:left="563"/>
              <w:spacing w:after="0"/>
              <w:rPr>
                <w:sz w:val="20"/>
                <w:szCs w:val="20"/>
                <w:color w:val="auto"/>
              </w:rPr>
            </w:pPr>
            <w:r>
              <w:rPr>
                <w:rFonts w:ascii="Arial" w:cs="Arial" w:eastAsia="Arial" w:hAnsi="Arial"/>
                <w:sz w:val="14"/>
                <w:szCs w:val="14"/>
                <w:b w:val="1"/>
                <w:bCs w:val="1"/>
                <w:color w:val="auto"/>
                <w:w w:val="91"/>
              </w:rPr>
              <w:t>Three Months Ended 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8"/>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w w:val="88"/>
              </w:rPr>
              <w:t>5,075</w:t>
            </w:r>
          </w:p>
        </w:tc>
        <w:tc>
          <w:tcPr>
            <w:tcW w:w="106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3"/>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1,215</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500" w:type="dxa"/>
            <w:vAlign w:val="bottom"/>
          </w:tcPr>
          <w:p>
            <w:pPr>
              <w:spacing w:after="0"/>
              <w:rPr>
                <w:sz w:val="24"/>
                <w:szCs w:val="24"/>
                <w:color w:val="auto"/>
              </w:rPr>
            </w:pPr>
          </w:p>
        </w:tc>
        <w:tc>
          <w:tcPr>
            <w:tcW w:w="2740" w:type="dxa"/>
            <w:vAlign w:val="bottom"/>
            <w:gridSpan w:val="3"/>
          </w:tcPr>
          <w:p>
            <w:pPr>
              <w:jc w:val="center"/>
              <w:ind w:left="563"/>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8"/>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w w:val="88"/>
              </w:rPr>
              <w:t>9,847</w:t>
            </w:r>
          </w:p>
        </w:tc>
        <w:tc>
          <w:tcPr>
            <w:tcW w:w="106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3"/>
              </w:rPr>
              <w:t>7,599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2,248</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increase in technology and development costs for the three months ended June 30, 2022 was primarily due to an increase of $1.9 million in personnel costs as headcount increased, and a $0.4 million increase in facilities costs, partially offset by an increase of $1.0 million related to the capitalization of internal use software.</w:t>
      </w:r>
    </w:p>
    <w:p>
      <w:pPr>
        <w:spacing w:after="0" w:line="14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increase in technology and development costs for the six months ended June 30, 2022 was primarily due to an increase of $4.1 million in personnel costs as headcount increased, a $0.7 million increase in facilities costs, mainly due to new office space, partially offset by an increase of $2.2 million related to the capitalization of internal use software and $0.4 million decrease in professional services utilized.</w:t>
      </w:r>
    </w:p>
    <w:p>
      <w:pPr>
        <w:spacing w:after="0" w:line="135"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We expect technology and development expenses to continue to increase in 2022 compared to 2021 in absolute dollars, primarily due to investment in technological innovation and additional headcount.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Three Months Ended June 30,</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42"/>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18,212</w:t>
            </w:r>
          </w:p>
        </w:tc>
        <w:tc>
          <w:tcPr>
            <w:tcW w:w="7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13,997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42"/>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34,667</w:t>
            </w:r>
          </w:p>
        </w:tc>
        <w:tc>
          <w:tcPr>
            <w:tcW w:w="7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26,786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Sales and marketing costs for the three months ended June 30, 2022 increased primarily due to a $2.1 million increase in personnel costs as headcount increased by 10% and higher stock-based compensation, a $0.7 million increase in facilities costs, mainly due to new office space, and a $1.4 million increase in marketing and travel expenses.</w:t>
      </w:r>
    </w:p>
    <w:p>
      <w:pPr>
        <w:spacing w:after="0" w:line="135" w:lineRule="exact"/>
        <w:rPr>
          <w:sz w:val="20"/>
          <w:szCs w:val="20"/>
          <w:color w:val="auto"/>
        </w:rPr>
      </w:pPr>
    </w:p>
    <w:p>
      <w:pPr>
        <w:jc w:val="both"/>
        <w:ind w:right="460" w:firstLine="318"/>
        <w:spacing w:after="0" w:line="255" w:lineRule="auto"/>
        <w:rPr>
          <w:sz w:val="20"/>
          <w:szCs w:val="20"/>
          <w:color w:val="auto"/>
        </w:rPr>
      </w:pPr>
      <w:r>
        <w:rPr>
          <w:rFonts w:ascii="Arial" w:cs="Arial" w:eastAsia="Arial" w:hAnsi="Arial"/>
          <w:sz w:val="18"/>
          <w:szCs w:val="18"/>
          <w:color w:val="auto"/>
        </w:rPr>
        <w:t>Sales and marketing costs for the six months ended June 30, 2022 increased primarily due to a $4.9 million increase in personnel costs as headcount increased and higher stock-based compensation, a $1.2 million increase in facilities costs, mainly due to new office space, and a $1.8 million increase in marketing and travel expenses.</w:t>
      </w:r>
    </w:p>
    <w:p>
      <w:pPr>
        <w:spacing w:after="0" w:line="14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expect sales and marketing expenses to increase in 2022 compared to 2021 in absolute dollars primarily due to additional headcount investment and marketing programs.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Three Months Ended June 30,</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10,977</w:t>
            </w:r>
          </w:p>
        </w:tc>
        <w:tc>
          <w:tcPr>
            <w:tcW w:w="68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2,397</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Percent of revenue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21,727</w:t>
            </w:r>
          </w:p>
        </w:tc>
        <w:tc>
          <w:tcPr>
            <w:tcW w:w="6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5,008</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Percent of revenue</w:t>
            </w:r>
          </w:p>
        </w:tc>
        <w:tc>
          <w:tcPr>
            <w:tcW w:w="38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8"/>
                <w:szCs w:val="18"/>
                <w:color w:val="auto"/>
              </w:rPr>
              <w:t>18 %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General and administrative expense increased for the three months ended June 30, 2022 primarily due to a $1.1 million increase in personnel costs associated with a 31% increase in headcount and higher stock-based compensation costs, a $0.5 million increase in facilities costs, mainly due to new office space, and a $0.7 million increase in professional services composed primarily of consulting and recruiting expenses.</w:t>
      </w:r>
    </w:p>
    <w:p>
      <w:pPr>
        <w:spacing w:after="0" w:line="131"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General and administrative expense increased for the six months ended June 30, 2022 primarily due to a $2.9 million increase in personnel costs associated with an increase in headcount and higher stock-based compensation costs, a $0.9 million increase in facilities costs, mainly due to new office space, and a $0.9 million increase in professional services composed primarily of consulting and recruiting expenses.</w:t>
      </w:r>
    </w:p>
    <w:p>
      <w:pPr>
        <w:spacing w:after="0" w:line="118" w:lineRule="exact"/>
        <w:rPr>
          <w:sz w:val="20"/>
          <w:szCs w:val="20"/>
          <w:color w:val="auto"/>
        </w:rPr>
      </w:pPr>
    </w:p>
    <w:p>
      <w:pPr>
        <w:ind w:right="540" w:firstLine="318"/>
        <w:spacing w:after="0" w:line="462" w:lineRule="auto"/>
        <w:rPr>
          <w:sz w:val="20"/>
          <w:szCs w:val="20"/>
          <w:color w:val="auto"/>
        </w:rPr>
      </w:pPr>
      <w:r>
        <w:rPr>
          <w:rFonts w:ascii="Arial" w:cs="Arial" w:eastAsia="Arial" w:hAnsi="Arial"/>
          <w:sz w:val="18"/>
          <w:szCs w:val="18"/>
          <w:color w:val="auto"/>
        </w:rPr>
        <w:t xml:space="preserve">We expect general and administrative expenses to increase in 2022 compared to 2021 in absolute dollars primarily due to the additional headcount. </w:t>
      </w:r>
      <w:r>
        <w:rPr>
          <w:rFonts w:ascii="Arial" w:cs="Arial" w:eastAsia="Arial" w:hAnsi="Arial"/>
          <w:sz w:val="18"/>
          <w:szCs w:val="18"/>
          <w:b w:val="1"/>
          <w:bCs w:val="1"/>
          <w:i w:val="1"/>
          <w:iCs w:val="1"/>
          <w:color w:val="auto"/>
        </w:rPr>
        <w:t>Total Other Income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266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91"/>
              </w:rPr>
              <w:t>Three Months Ended June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8"/>
              </w:rPr>
              <w:t>(dollars 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66"/>
        </w:trPr>
        <w:tc>
          <w:tcPr>
            <w:tcW w:w="4640" w:type="dxa"/>
            <w:vAlign w:val="bottom"/>
          </w:tcPr>
          <w:p>
            <w:pPr>
              <w:spacing w:after="0"/>
              <w:rPr>
                <w:sz w:val="24"/>
                <w:szCs w:val="24"/>
                <w:color w:val="auto"/>
              </w:rPr>
            </w:pPr>
          </w:p>
        </w:tc>
        <w:tc>
          <w:tcPr>
            <w:tcW w:w="266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91"/>
              </w:rPr>
              <w:t>Six Months Ended June 30,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8"/>
              </w:rPr>
              <w:t>(dollars 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1,551</w:t>
            </w:r>
          </w:p>
        </w:tc>
        <w:tc>
          <w:tcPr>
            <w:tcW w:w="108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Total other income (expense), net increased for the three months ended June 30, 2022 and for the six months ended June 30, 2022 compared to the prior year period, as a result of unrealized gains related to our equity investment and due to currency fluctuations.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262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91"/>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8"/>
              </w:rPr>
              <w:t>(dollars 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1,927</w:t>
            </w:r>
          </w:p>
        </w:tc>
        <w:tc>
          <w:tcPr>
            <w:tcW w:w="106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479"/>
        </w:trPr>
        <w:tc>
          <w:tcPr>
            <w:tcW w:w="4680" w:type="dxa"/>
            <w:vAlign w:val="bottom"/>
          </w:tcPr>
          <w:p>
            <w:pPr>
              <w:spacing w:after="0"/>
              <w:rPr>
                <w:sz w:val="24"/>
                <w:szCs w:val="24"/>
                <w:color w:val="auto"/>
              </w:rPr>
            </w:pPr>
          </w:p>
        </w:tc>
        <w:tc>
          <w:tcPr>
            <w:tcW w:w="262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91"/>
              </w:rPr>
              <w:t>Six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8"/>
              </w:rPr>
              <w:t>(dollars in 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3,330</w:t>
            </w:r>
          </w:p>
        </w:tc>
        <w:tc>
          <w:tcPr>
            <w:tcW w:w="106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8"/>
        </w:trPr>
        <w:tc>
          <w:tcPr>
            <w:tcW w:w="4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The difference between the effective tax rate for the three months ended June 30, 2022 of 20% and the federal statutory income tax rate of 21% was related to an increase in FDII deduction, benefit for foreign, federal and state tax credits, partially offset by nondeductible stock-based compensation, Section 162(m) limitation, GILTI inclusion, and a higher tax rate in certain foreign countries where the Company operates. The effective income tax rate was —% for the three months ended June 30, 2021 primarily due to excess tax benefits from stock-based compensation.</w:t>
      </w:r>
    </w:p>
    <w:p>
      <w:pPr>
        <w:spacing w:after="0" w:line="137"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difference between the effective tax rate for the six months ended June 30, 2022 of 21% and the federal statutory income tax rate of 21% was primarily due to an increase in FDII deduction, benefit for foreign, federal and state tax credits, partially offset by nondeductible stock-based compensation, Section 162(m) limitation, GILTI inclusion, and a higher tax rate in certain foreign countries where the Company operates. The effective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rate was 11% for the six months ended June 30, 2021 primarily due to excess benefit from stock-based compensation which reduced the effective tax rate in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We have financed our operations and capital expenditures primarily through utilization of cash generated from operations, as well as sales of equity securities and borrowings under our credit facilities. As of June 30, 2022, we had cash, cash equivalents, and marketable securities of $183.0 million and net working capital, consisting of current assets less current liabilities, of $204.6 million. As of June 30, 2022, we had retained earnings of $111.9 million.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principal uses of cash are funding our operations and other working capital requirements.</w:t>
      </w:r>
    </w:p>
    <w:p>
      <w:pPr>
        <w:spacing w:after="0" w:line="177"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the duration and severity of the COVID-19 pandemic and its impact on buyers and sellers and those set forth under “Risk Factors.” As of June 30, 2022, our material cash requirements included the contractual commitments set forth under “Contractual Obligations and Future Cash Requirements.”</w:t>
      </w:r>
    </w:p>
    <w:p>
      <w:pPr>
        <w:spacing w:after="0" w:line="139"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14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As of June 30, 2022, the amount we can borrow under the Loan Agreement was the lesser of $25.0 million or 80% of eligible accounts receivable less certain reserves, minus the aggregate principal amount of all outstanding advances. Interest accrues on advances under the revolving line of credit at a variable rate equal to the greater of prime rate or 3.25%. For any quarter where the average closing outstanding balance under the Loan Agreement is less than $5.0 million, a fee for such unused capacity in the amount of 0.40% per annum of the average unused portion is charged and is payable in arrears. As of June 30, 2022, the applicable interest rate under the Loan Agreement was 4.75%. In June 2021, we amended the Loan Agreement to extend its maturity date to June 6, 2024. As of June 30, 2022, there were no outstanding borrowings under the Loan Agreement.</w:t>
      </w:r>
    </w:p>
    <w:p>
      <w:pPr>
        <w:spacing w:after="0" w:line="112"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Our obligations under the Loan Agreement are secured by substantially all of our assets excluding our intellectual property. The Loan Agreement contains affirmative covenants including financial covenants that, among other things, require us to maintain an adjusted quick ratio of no less than 1.0 to 1.0. The adjusted quick ratio is defined as the ratio of (a) our unrestricted cash and cash equivalents at SVB, plus net billed accounts receivable to (b) our total accounts payable plus all loans outstanding and outstanding letters of credit with SVB. The Loan Agreement also restricts us from paying dividends to stockholders without prior consent from SVB. We were in compliance with the covenants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579755</wp:posOffset>
            </wp:positionV>
            <wp:extent cx="713486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financing activities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cash and cash equivalents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4"/>
        </w:trPr>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88"/>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39,782</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33,763</w:t>
            </w:r>
          </w:p>
        </w:tc>
      </w:tr>
      <w:tr>
        <w:trPr>
          <w:trHeight w:val="238"/>
        </w:trPr>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(28,187)</w:t>
            </w:r>
          </w:p>
        </w:tc>
      </w:tr>
      <w:tr>
        <w:trPr>
          <w:trHeight w:val="265"/>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8"/>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(30,611)</w:t>
            </w:r>
          </w:p>
        </w:tc>
        <w:tc>
          <w:tcPr>
            <w:tcW w:w="10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9,432</w:t>
            </w:r>
          </w:p>
        </w:tc>
      </w:tr>
      <w:tr>
        <w:trPr>
          <w:trHeight w:val="28"/>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7300" w:space="720"/>
            <w:col w:w="3220"/>
          </w:cols>
          <w:pgMar w:left="320" w:top="127" w:right="339" w:bottom="1440" w:gutter="0" w:footer="0" w:header="0"/>
        </w:sectPr>
      </w:pPr>
    </w:p>
    <w:p>
      <w:pPr>
        <w:ind w:right="100" w:firstLine="318"/>
        <w:spacing w:after="0" w:line="250"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154"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For the six months ended June 30, 2022, net cash provided by operating activities of $39.8 million resulted primarily from net income of $12.6 million, adjustments for non-cash expenses of $25.3 million, including $14.5 million for depreciation and amortization and $10.5 million for stock-based compensation, and a decrease in accounts receivable of $22.9 million, partially offset by an increase in accounts payable of $13.7 million.</w:t>
      </w:r>
    </w:p>
    <w:p>
      <w:pPr>
        <w:spacing w:after="0" w:line="11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For the six months ended June 30, 2021, net cash provided by operating activities of $33.8 million resulted primarily from net income of $14.8 million, adjustments for non-cash expenses of $18.6 million, including $9.7 million for depreciation and amortization and $6.8 million for stock-based compensation, and a decrease in accounts receivable of $24.1 million, partially offset by a decrease in accounts payable of $15.1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4"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37"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For the six months ended June 30, 2022, we used $73.6 million of cash in investing activities, consisting of $12.4 million in purchases of property and equipment (primarily data center infrastructure), $6.8 million of investments in capitalized internal use software and a net increase in investments of marketable securities of $54.4 million.</w:t>
      </w:r>
    </w:p>
    <w:p>
      <w:pPr>
        <w:spacing w:after="0" w:line="135"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For the six months ended June 30, 2021, we used $28.2 million of cash in investing activities, consisting of $11.8 million in purchases of property and equipment (primarily data center infrastructure), $4.8 million of investments in capitalized internal use software and a net increase in investments of marketable securities of $11.6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For the six months ended June 30, 2022, net cash provided by financing activities of $3.2 million was primarily due to proceeds from our employee stock purchase plan.</w:t>
      </w:r>
    </w:p>
    <w:p>
      <w:pPr>
        <w:spacing w:after="0" w:line="141"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For the six months ended June 30, 2021, net cash provided by financing activities of $3.9 million was primarily due to $2.6 million proceeds from our employee stock purchase plan, $2.1 million proceeds from exercise of stock options, partially offset by $0.8 million from the payment of offering costs from our IPO.</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at June 30,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3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15"/>
                <w:szCs w:val="15"/>
                <w:color w:val="auto"/>
              </w:rPr>
            </w:pPr>
          </w:p>
        </w:tc>
        <w:tc>
          <w:tcPr>
            <w:tcW w:w="130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More than 5 years</w:t>
            </w:r>
          </w:p>
        </w:tc>
      </w:tr>
      <w:tr>
        <w:trPr>
          <w:trHeight w:val="24"/>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30,398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r>
      <w:tr>
        <w:trPr>
          <w:trHeight w:val="238"/>
        </w:trPr>
        <w:tc>
          <w:tcPr>
            <w:tcW w:w="370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8"/>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22"/>
                <w:szCs w:val="22"/>
                <w:color w:val="auto"/>
                <w:vertAlign w:val="superscript"/>
              </w:rPr>
              <w:t>(1)</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48,619</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370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79,908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46,450</w:t>
            </w:r>
          </w:p>
        </w:tc>
        <w:tc>
          <w:tcPr>
            <w:tcW w:w="100" w:type="dxa"/>
            <w:vAlign w:val="bottom"/>
          </w:tcPr>
          <w:p>
            <w:pPr>
              <w:spacing w:after="0"/>
              <w:rPr>
                <w:sz w:val="22"/>
                <w:szCs w:val="22"/>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5,181</w:t>
            </w:r>
          </w:p>
        </w:tc>
      </w:tr>
      <w:tr>
        <w:trPr>
          <w:trHeight w:val="20"/>
        </w:trPr>
        <w:tc>
          <w:tcPr>
            <w:tcW w:w="3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0"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Other contractual obligations consist primarily of contractual obligations to third-party data center providers.</w:t>
      </w:r>
    </w:p>
    <w:p>
      <w:pPr>
        <w:spacing w:after="0" w:line="164"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As of June 30, 2022, we had $2.8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Through June 30,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5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audited consolidated financial statements and notes thereto for the year ended December 31, 2021 included in our Annual Report on Form 10-K.</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revenue recognition policy is further described below, which is consistent with the policy included in our Annual Report referenced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3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141"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106"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7"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We had cash and cash equivalents of $51.9 million and marketable securities of $131.1 million as of June 30, 2022,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June 30, 2022.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164"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operating results may be more greatly affected by foreign currency exchange rate fluctuations, which can affect our operating income. A hypothetical 10% change in the U.S. Dollar to India Rupee exchange rate could result in a change of $0.7 million in our operating income for the six months ended June 30, 2022. A hypothetical 10% change in the U.S. Dollar to British Pound exchange rate could result in a change of $0.7 million in our operating income for the six months ended June 30, 2022.</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3"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June 30, 2022. Based on such evaluation, our principal executive officer and principal financial officer have concluded that, as of such date, our disclosure controls and procedures were effective at a reasonable assurance level.</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3" w:lineRule="exact"/>
        <w:rPr>
          <w:sz w:val="20"/>
          <w:szCs w:val="20"/>
          <w:color w:val="auto"/>
        </w:rPr>
      </w:pPr>
    </w:p>
    <w:p>
      <w:pPr>
        <w:ind w:right="100" w:firstLine="318"/>
        <w:spacing w:after="0" w:line="365"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June 30, 2022 that has materially affected, or is reasonably likely to materially affect, our internal control over financial reporting.</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“Commitments and Contingencies,” to our condensed consolidated financial statements included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41"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results of operations are highly dependent on the overall demand for advertising.</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existing customers do not expand their usage of our platform, or if we fail to attract new publishers and buyers, our growth will suffer.</w:t>
      </w:r>
    </w:p>
    <w:p>
      <w:pPr>
        <w:spacing w:after="0" w:line="27"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Moreover, any decrease in the use of the advertising channels that we primarily depend on, or failure to expand into emerging channels, could adversely affect our business, results of operations, and financial condition.</w:t>
      </w:r>
    </w:p>
    <w:p>
      <w:pPr>
        <w:spacing w:after="0" w:line="138"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and may not meet our expectations or those of securities analysts and investors.</w:t>
      </w:r>
    </w:p>
    <w:p>
      <w:pPr>
        <w:spacing w:after="0" w:line="177" w:lineRule="exact"/>
        <w:rPr>
          <w:rFonts w:ascii="Arial" w:cs="Arial" w:eastAsia="Arial" w:hAnsi="Arial"/>
          <w:sz w:val="18"/>
          <w:szCs w:val="18"/>
          <w:color w:val="auto"/>
        </w:rPr>
      </w:pPr>
    </w:p>
    <w:p>
      <w:pPr>
        <w:ind w:right="160" w:firstLine="324"/>
        <w:spacing w:after="0" w:line="365" w:lineRule="auto"/>
        <w:tabs>
          <w:tab w:leader="none" w:pos="631"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71" w:lineRule="exact"/>
        <w:rPr>
          <w:rFonts w:ascii="Arial" w:cs="Arial" w:eastAsia="Arial" w:hAnsi="Arial"/>
          <w:sz w:val="15"/>
          <w:szCs w:val="15"/>
          <w:color w:val="auto"/>
        </w:rPr>
      </w:pPr>
    </w:p>
    <w:p>
      <w:pPr>
        <w:ind w:right="140" w:firstLine="324"/>
        <w:spacing w:after="0" w:line="255"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35" w:lineRule="exact"/>
        <w:rPr>
          <w:rFonts w:ascii="Arial" w:cs="Arial" w:eastAsia="Arial" w:hAnsi="Arial"/>
          <w:sz w:val="18"/>
          <w:szCs w:val="18"/>
          <w:color w:val="auto"/>
        </w:rPr>
      </w:pPr>
    </w:p>
    <w:p>
      <w:pPr>
        <w:ind w:right="5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scale our platform infrastructure to support anticipated growth and transaction volume. If we fail to do so, we may limit our ability to process ad impressions, and we may lose revenue.</w:t>
      </w:r>
    </w:p>
    <w:p>
      <w:pPr>
        <w:spacing w:after="0" w:line="140" w:lineRule="exact"/>
        <w:rPr>
          <w:rFonts w:ascii="Arial" w:cs="Arial" w:eastAsia="Arial" w:hAnsi="Arial"/>
          <w:sz w:val="18"/>
          <w:szCs w:val="18"/>
          <w:color w:val="auto"/>
        </w:rPr>
      </w:pPr>
    </w:p>
    <w:p>
      <w:pPr>
        <w:ind w:right="6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24"/>
        <w:spacing w:after="0" w:line="365" w:lineRule="auto"/>
        <w:tabs>
          <w:tab w:leader="none" w:pos="631" w:val="left"/>
        </w:tabs>
        <w:numPr>
          <w:ilvl w:val="1"/>
          <w:numId w:val="4"/>
        </w:numPr>
        <w:rPr>
          <w:rFonts w:ascii="Arial" w:cs="Arial" w:eastAsia="Arial" w:hAnsi="Arial"/>
          <w:sz w:val="15"/>
          <w:szCs w:val="15"/>
          <w:color w:val="auto"/>
        </w:rPr>
      </w:pPr>
      <w:r>
        <w:rPr>
          <w:rFonts w:ascii="Arial" w:cs="Arial" w:eastAsia="Arial" w:hAnsi="Arial"/>
          <w:sz w:val="15"/>
          <w:szCs w:val="15"/>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1" w:lineRule="exact"/>
        <w:rPr>
          <w:rFonts w:ascii="Arial" w:cs="Arial" w:eastAsia="Arial" w:hAnsi="Arial"/>
          <w:sz w:val="15"/>
          <w:szCs w:val="15"/>
          <w:color w:val="auto"/>
        </w:rPr>
      </w:pPr>
    </w:p>
    <w:p>
      <w:pPr>
        <w:ind w:right="120" w:firstLine="324"/>
        <w:spacing w:after="0" w:line="255"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35" w:lineRule="exact"/>
        <w:rPr>
          <w:rFonts w:ascii="Arial" w:cs="Arial" w:eastAsia="Arial" w:hAnsi="Arial"/>
          <w:sz w:val="18"/>
          <w:szCs w:val="18"/>
          <w:color w:val="auto"/>
        </w:rPr>
      </w:pPr>
    </w:p>
    <w:p>
      <w:pPr>
        <w:ind w:right="380" w:firstLine="24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140" w:lineRule="exact"/>
        <w:rPr>
          <w:rFonts w:ascii="Arial" w:cs="Arial" w:eastAsia="Arial" w:hAnsi="Arial"/>
          <w:sz w:val="18"/>
          <w:szCs w:val="18"/>
          <w:color w:val="auto"/>
        </w:rPr>
      </w:pPr>
    </w:p>
    <w:p>
      <w:pPr>
        <w:ind w:right="20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164" w:lineRule="exact"/>
        <w:rPr>
          <w:rFonts w:ascii="Arial" w:cs="Arial" w:eastAsia="Arial" w:hAnsi="Arial"/>
          <w:sz w:val="18"/>
          <w:szCs w:val="18"/>
          <w:color w:val="auto"/>
        </w:rPr>
      </w:pPr>
    </w:p>
    <w:p>
      <w:pPr>
        <w:ind w:right="60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and financial condition.</w:t>
      </w:r>
    </w:p>
    <w:p>
      <w:pPr>
        <w:spacing w:after="0" w:line="140" w:lineRule="exact"/>
        <w:rPr>
          <w:rFonts w:ascii="Arial" w:cs="Arial" w:eastAsia="Arial" w:hAnsi="Arial"/>
          <w:sz w:val="18"/>
          <w:szCs w:val="18"/>
          <w:color w:val="auto"/>
        </w:rPr>
      </w:pPr>
    </w:p>
    <w:p>
      <w:pPr>
        <w:ind w:right="54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ad formats and digital device types develop in ways that prevent advertisements from being delivered to consumers, our business, results of operations, and financial condition generally, will be adversely affected.</w:t>
      </w:r>
    </w:p>
    <w:p>
      <w:pPr>
        <w:spacing w:after="0" w:line="140" w:lineRule="exact"/>
        <w:rPr>
          <w:rFonts w:ascii="Arial" w:cs="Arial" w:eastAsia="Arial" w:hAnsi="Arial"/>
          <w:sz w:val="18"/>
          <w:szCs w:val="18"/>
          <w:color w:val="auto"/>
        </w:rPr>
      </w:pPr>
    </w:p>
    <w:p>
      <w:pPr>
        <w:ind w:right="68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27" w:lineRule="exact"/>
        <w:rPr>
          <w:rFonts w:ascii="Arial" w:cs="Arial" w:eastAsia="Arial" w:hAnsi="Arial"/>
          <w:sz w:val="18"/>
          <w:szCs w:val="18"/>
          <w:color w:val="auto"/>
        </w:rPr>
      </w:pPr>
    </w:p>
    <w:p>
      <w:pPr>
        <w:ind w:right="58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retain key members of our management team, and on our ability to hire, train, retain, and motivate new employees.</w:t>
      </w:r>
    </w:p>
    <w:p>
      <w:pPr>
        <w:spacing w:after="0" w:line="140" w:lineRule="exact"/>
        <w:rPr>
          <w:rFonts w:ascii="Arial" w:cs="Arial" w:eastAsia="Arial" w:hAnsi="Arial"/>
          <w:sz w:val="18"/>
          <w:szCs w:val="18"/>
          <w:color w:val="auto"/>
        </w:rPr>
      </w:pPr>
    </w:p>
    <w:p>
      <w:pPr>
        <w:ind w:right="12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1"/>
          <w:numId w:val="4"/>
        </w:numPr>
        <w:rPr>
          <w:rFonts w:ascii="Arial" w:cs="Arial" w:eastAsia="Arial" w:hAnsi="Arial"/>
          <w:sz w:val="17"/>
          <w:szCs w:val="17"/>
          <w:color w:val="auto"/>
        </w:rPr>
      </w:pPr>
      <w:r>
        <w:rPr>
          <w:rFonts w:ascii="Arial" w:cs="Arial" w:eastAsia="Arial" w:hAnsi="Arial"/>
          <w:sz w:val="17"/>
          <w:szCs w:val="17"/>
          <w:color w:val="auto"/>
        </w:rPr>
        <w:t>Our international operations subject us to additional costs and risks, and our continued international expansion may not be successful.</w:t>
      </w:r>
    </w:p>
    <w:p>
      <w:pPr>
        <w:spacing w:after="0" w:line="175" w:lineRule="exact"/>
        <w:rPr>
          <w:rFonts w:ascii="Arial" w:cs="Arial" w:eastAsia="Arial" w:hAnsi="Arial"/>
          <w:sz w:val="17"/>
          <w:szCs w:val="17"/>
          <w:color w:val="auto"/>
        </w:rPr>
      </w:pPr>
    </w:p>
    <w:p>
      <w:pPr>
        <w:ind w:right="220" w:firstLine="324"/>
        <w:spacing w:after="0" w:line="264" w:lineRule="auto"/>
        <w:tabs>
          <w:tab w:leader="none" w:pos="676"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1"/>
          <w:numId w:val="4"/>
        </w:numPr>
        <w:rPr>
          <w:rFonts w:ascii="Arial" w:cs="Arial" w:eastAsia="Arial" w:hAnsi="Arial"/>
          <w:sz w:val="15"/>
          <w:szCs w:val="15"/>
          <w:color w:val="auto"/>
        </w:rPr>
      </w:pPr>
      <w:r>
        <w:rPr>
          <w:rFonts w:ascii="Arial" w:cs="Arial" w:eastAsia="Arial" w:hAnsi="Arial"/>
          <w:sz w:val="15"/>
          <w:szCs w:val="15"/>
          <w:color w:val="auto"/>
        </w:rPr>
        <w:t>We depend on third-party data centers, the disruption of which could adversely affect our business, results of operations, and financial condition.</w:t>
      </w:r>
    </w:p>
    <w:p>
      <w:pPr>
        <w:spacing w:after="0" w:line="211" w:lineRule="exact"/>
        <w:rPr>
          <w:rFonts w:ascii="Arial" w:cs="Arial" w:eastAsia="Arial" w:hAnsi="Arial"/>
          <w:sz w:val="15"/>
          <w:szCs w:val="15"/>
          <w:color w:val="auto"/>
        </w:rPr>
      </w:pPr>
    </w:p>
    <w:p>
      <w:pPr>
        <w:ind w:right="50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software platform could be susceptible to errors, defects, or unintended performance problems that could adversely affect our business, results of operations, and financial condition.</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w:t>
      </w:r>
    </w:p>
    <w:p>
      <w:pPr>
        <w:spacing w:after="0" w:line="177" w:lineRule="exact"/>
        <w:rPr>
          <w:rFonts w:ascii="Arial" w:cs="Arial" w:eastAsia="Arial" w:hAnsi="Arial"/>
          <w:sz w:val="18"/>
          <w:szCs w:val="18"/>
          <w:color w:val="auto"/>
        </w:rPr>
      </w:pPr>
    </w:p>
    <w:p>
      <w:pPr>
        <w:ind w:right="340" w:firstLine="324"/>
        <w:spacing w:after="0" w:line="264" w:lineRule="auto"/>
        <w:tabs>
          <w:tab w:leader="none" w:pos="631" w:val="left"/>
        </w:tabs>
        <w:numPr>
          <w:ilvl w:val="1"/>
          <w:numId w:val="4"/>
        </w:numPr>
        <w:rPr>
          <w:rFonts w:ascii="Arial" w:cs="Arial" w:eastAsia="Arial" w:hAnsi="Arial"/>
          <w:sz w:val="18"/>
          <w:szCs w:val="18"/>
          <w:color w:val="auto"/>
        </w:rPr>
      </w:pPr>
      <w:r>
        <w:rPr>
          <w:rFonts w:ascii="Arial" w:cs="Arial" w:eastAsia="Arial" w:hAnsi="Arial"/>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firstLine="324"/>
        <w:spacing w:after="0" w:line="365" w:lineRule="auto"/>
        <w:tabs>
          <w:tab w:leader="none" w:pos="631"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71" w:lineRule="exact"/>
        <w:rPr>
          <w:rFonts w:ascii="Arial" w:cs="Arial" w:eastAsia="Arial" w:hAnsi="Arial"/>
          <w:sz w:val="15"/>
          <w:szCs w:val="15"/>
          <w:color w:val="auto"/>
        </w:rPr>
      </w:pPr>
    </w:p>
    <w:p>
      <w:pPr>
        <w:ind w:right="22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constantly evolving laws, regulations and industry requirements related to data privacy, data protection, information security, and consumer protection across the markets we operate in.</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40"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our ability to produce accurate financial statements and other disclosures on a timely basis could be impaired.</w:t>
      </w:r>
    </w:p>
    <w:p>
      <w:pPr>
        <w:spacing w:after="0" w:line="140" w:lineRule="exact"/>
        <w:rPr>
          <w:rFonts w:ascii="Arial" w:cs="Arial" w:eastAsia="Arial" w:hAnsi="Arial"/>
          <w:sz w:val="18"/>
          <w:szCs w:val="18"/>
          <w:color w:val="auto"/>
        </w:rPr>
      </w:pPr>
    </w:p>
    <w:p>
      <w:pPr>
        <w:ind w:right="580" w:firstLine="324"/>
        <w:spacing w:after="0" w:line="365" w:lineRule="auto"/>
        <w:tabs>
          <w:tab w:leader="none" w:pos="63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Results of Operations and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In addition, the conflict in Ukraine could cause unpredictable economic effects in Europe, including potentially softening general consumer demand. Various macroeconomic factors could cause advertisers to reduce their advertising budgets, including inflation;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4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132"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 relatively small number of premium publishers have historically accounted for a significant portion of the ad impressions sold on our platform, as well as a significant portion of our revenue from publishers,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relatively small number of channel partners. In particular, for the six months ended June 30, 2022 and 2021, 13% and 18%,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45"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10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76"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111"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demand as a result of changes in the macroeconomic environment, as a result of inflation, high interest rates, or otherwise;</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expanding our business internationally;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128"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06" w:lineRule="exact"/>
        <w:rPr>
          <w:sz w:val="20"/>
          <w:szCs w:val="20"/>
          <w:color w:val="auto"/>
        </w:rPr>
      </w:pPr>
    </w:p>
    <w:p>
      <w:pPr>
        <w:ind w:right="280"/>
        <w:spacing w:after="0" w:line="365" w:lineRule="auto"/>
        <w:rPr>
          <w:sz w:val="20"/>
          <w:szCs w:val="20"/>
          <w:color w:val="auto"/>
        </w:rPr>
      </w:pPr>
      <w:r>
        <w:rPr>
          <w:rFonts w:ascii="Arial" w:cs="Arial" w:eastAsia="Arial" w:hAnsi="Arial"/>
          <w:sz w:val="15"/>
          <w:szCs w:val="15"/>
          <w:b w:val="1"/>
          <w:bCs w:val="1"/>
          <w:i w:val="1"/>
          <w:iCs w:val="1"/>
          <w:color w:val="auto"/>
        </w:rPr>
        <w:t>If we fail to make the right investment decisions in our platform, or if we fail to innovate and develop new solutions that are adopted by publishers, we may not attract and retain publishers, which could adversely affect our business, results of operations, and financial condition.</w:t>
      </w:r>
    </w:p>
    <w:p>
      <w:pPr>
        <w:spacing w:after="0" w:line="5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337"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35"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The COVID-19 pandemic, including its variants,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A recession, depression, or other sustained adverse market events resulting from the spread of COVID-19 could adversely affect our business, results of operations, and financial condition, as well as the value of our common stock.</w:t>
      </w:r>
    </w:p>
    <w:p>
      <w:pPr>
        <w:spacing w:after="0" w:line="141"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worked remotely during the peak of the pandemic, and, more recently, many continue to work on a remote or hybrid basis.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our hybrid workforce, any of which could adversely affect our business, results of operations, and financial condition.</w:t>
      </w:r>
    </w:p>
    <w:p>
      <w:pPr>
        <w:spacing w:after="0" w:line="132"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4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12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4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may be offset or negated if PMPs cannibalize our open marketplace transaction volumes, by similar offerings from our competitors, or other adverse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Data Collection and the Use of Collected Data</w:t>
      </w:r>
    </w:p>
    <w:p>
      <w:pPr>
        <w:spacing w:after="0" w:line="170" w:lineRule="exact"/>
        <w:rPr>
          <w:sz w:val="20"/>
          <w:szCs w:val="20"/>
          <w:color w:val="auto"/>
        </w:rPr>
      </w:pPr>
    </w:p>
    <w:p>
      <w:pPr>
        <w:ind w:right="80"/>
        <w:spacing w:after="0" w:line="365" w:lineRule="auto"/>
        <w:rPr>
          <w:sz w:val="20"/>
          <w:szCs w:val="20"/>
          <w:color w:val="auto"/>
        </w:rPr>
      </w:pPr>
      <w:r>
        <w:rPr>
          <w:rFonts w:ascii="Arial" w:cs="Arial" w:eastAsia="Arial" w:hAnsi="Arial"/>
          <w:sz w:val="15"/>
          <w:szCs w:val="15"/>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spacing w:after="0" w:line="121"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321"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1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the Advertising Industry and Competition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28"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spacing w:after="0" w:line="11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132"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145"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164"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 fluctuations or market changes in digital advertising activity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or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128"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our ability to retain key members of our management team, and on our ability to hire, train, retain, and motivate new employees.</w:t>
      </w:r>
    </w:p>
    <w:p>
      <w:pPr>
        <w:spacing w:after="0" w:line="199"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and the COVID-19 pandemic and resulting economic impact, as certain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32"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additional costs and risks, and our continued international expansion may not be successful.</w:t>
      </w:r>
    </w:p>
    <w:p>
      <w:pPr>
        <w:spacing w:after="0" w:line="176" w:lineRule="exact"/>
        <w:rPr>
          <w:sz w:val="20"/>
          <w:szCs w:val="20"/>
          <w:color w:val="auto"/>
        </w:rPr>
      </w:pPr>
    </w:p>
    <w:p>
      <w:pPr>
        <w:ind w:right="440" w:firstLine="318"/>
        <w:spacing w:after="0" w:line="277" w:lineRule="auto"/>
        <w:rPr>
          <w:sz w:val="20"/>
          <w:szCs w:val="20"/>
          <w:color w:val="auto"/>
        </w:rPr>
      </w:pPr>
      <w:r>
        <w:rPr>
          <w:rFonts w:ascii="Arial" w:cs="Arial" w:eastAsia="Arial" w:hAnsi="Arial"/>
          <w:sz w:val="17"/>
          <w:szCs w:val="17"/>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131"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associated with maintaining effective controls at foreign locations;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 including staffing difficulties;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anti-bribery laws and regulations, export and import control and economic sanctions, laws and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foreign data privacy laws;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 including as a result of the conflict in Ukraine;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148"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difficulty hiring and retaining engineering and management resources due to intense competition for such resources and resulting wage inflation;</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exposure to changes in economic, health, security, and political conditions in India;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14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data centers, the disruption of which could adversely affect our business, results of operations, and financial condition.</w:t>
      </w:r>
    </w:p>
    <w:p>
      <w:pPr>
        <w:spacing w:after="0" w:line="19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145"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3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11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128" w:lineRule="exact"/>
        <w:rPr>
          <w:sz w:val="20"/>
          <w:szCs w:val="20"/>
          <w:color w:val="auto"/>
        </w:rPr>
      </w:pPr>
    </w:p>
    <w:p>
      <w:pPr>
        <w:ind w:right="660"/>
        <w:spacing w:after="0" w:line="365" w:lineRule="auto"/>
        <w:rPr>
          <w:sz w:val="20"/>
          <w:szCs w:val="20"/>
          <w:color w:val="auto"/>
        </w:rPr>
      </w:pPr>
      <w:r>
        <w:rPr>
          <w:rFonts w:ascii="Arial" w:cs="Arial" w:eastAsia="Arial" w:hAnsi="Arial"/>
          <w:sz w:val="15"/>
          <w:szCs w:val="15"/>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7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42"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in integrating the operations, technologies, product or service offerings, administrative systems, and personnel of acquired businesses;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in a timely manner or at all;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72"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132"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20"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spacing w:after="0" w:line="1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128"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4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132" w:lineRule="exact"/>
        <w:rPr>
          <w:sz w:val="20"/>
          <w:szCs w:val="20"/>
          <w:color w:val="auto"/>
        </w:rPr>
      </w:pPr>
    </w:p>
    <w:p>
      <w:pPr>
        <w:ind w:right="60" w:firstLine="318"/>
        <w:spacing w:after="0" w:line="299" w:lineRule="auto"/>
        <w:rPr>
          <w:sz w:val="20"/>
          <w:szCs w:val="20"/>
          <w:color w:val="auto"/>
        </w:rPr>
      </w:pPr>
      <w:r>
        <w:rPr>
          <w:rFonts w:ascii="Arial" w:cs="Arial" w:eastAsia="Arial" w:hAnsi="Arial"/>
          <w:sz w:val="15"/>
          <w:szCs w:val="15"/>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341"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720"/>
        <w:spacing w:after="0" w:line="294" w:lineRule="auto"/>
        <w:rPr>
          <w:sz w:val="20"/>
          <w:szCs w:val="20"/>
          <w:color w:val="auto"/>
        </w:rPr>
      </w:pPr>
      <w:r>
        <w:rPr>
          <w:rFonts w:ascii="Arial" w:cs="Arial" w:eastAsia="Arial" w:hAnsi="Arial"/>
          <w:sz w:val="17"/>
          <w:szCs w:val="17"/>
          <w:color w:val="auto"/>
        </w:rPr>
        <w:t>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17"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319"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06"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the CDPA, the CPA,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2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32"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Further, in the European Union, regulators are increasingly focusing on compliance with requirements in the online behavioral advertising ecosystem, and current national laws that implement the ePrivacy Directive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337"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5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06"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128"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14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135"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29"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146"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European Union to the United States. In the event that use of the SCCs or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09"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1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12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4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35"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0"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58"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29"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33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14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our business, results of operations, and financial condition.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17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14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35"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9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2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120"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operating and financial covenants that may restrict our business and financing activities.</w:t>
      </w:r>
    </w:p>
    <w:p>
      <w:pPr>
        <w:spacing w:after="0" w:line="16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As of June 30, 2022, we had no outstanding borrowings under our loan and security agreement with Silicon Valley Bank (“SVB”). Borrowings under this agreement are secured by substantially all of our assets, excluding our intellectual property. This loan and security agreement restricts our ability, without SVB’s written consent, to, among other things: dispose of or sell our assets; make material changes in our business or management; consolidate or merge with other entities; incur additional indebtedness; create liens on our assets; pay dividends; make investments; enter into transactions with affiliates; and pay off or redeem subordinated indebtedness. In addition, our loan and security agreement with SVB contains covenants requiring us to comply with minimum monthly liquidity requirements. 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22"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64" w:lineRule="exact"/>
        <w:rPr>
          <w:sz w:val="20"/>
          <w:szCs w:val="20"/>
          <w:color w:val="auto"/>
        </w:rPr>
      </w:pPr>
    </w:p>
    <w:p>
      <w:pPr>
        <w:ind w:right="100" w:firstLine="318"/>
        <w:spacing w:after="0" w:line="299" w:lineRule="auto"/>
        <w:rPr>
          <w:sz w:val="20"/>
          <w:szCs w:val="20"/>
          <w:color w:val="auto"/>
        </w:rPr>
      </w:pPr>
      <w:r>
        <w:rPr>
          <w:rFonts w:ascii="Arial" w:cs="Arial" w:eastAsia="Arial" w:hAnsi="Arial"/>
          <w:sz w:val="15"/>
          <w:szCs w:val="15"/>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changes could affect our effective tax rate and future profitability.</w:t>
      </w:r>
    </w:p>
    <w:p>
      <w:pPr>
        <w:spacing w:after="0" w:line="177"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auto"/>
        </w:rPr>
        <w:t>We are subject to U.S. federal, state, local and sales taxes in the United States and foreign income taxes, withholding taxes and transaction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future income tax obligations could be adversely affected by changes in, or interpretations of, tax laws in the United States or in other jurisdictions in which we operate.</w:t>
      </w:r>
    </w:p>
    <w:p>
      <w:pPr>
        <w:spacing w:after="0" w:line="141"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For example, the United States tax law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use of net operating loss carryforwards. Recently, in the United States, Congress and the Biden administration proposed legislation to make various tax law changes, including to increase U.S. taxation of international business operations and impose a global minimum tax. These proposals, recommendations and enactments include changes to the existing framework in respect of income taxes, limitations on the ability of taxpayers to claim and utilize foreign tax credits, as well as add new types of non-income taxes (such as taxes based on a percentage of revenue or taxes applicable to digital services). 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176"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151" w:lineRule="exact"/>
        <w:rPr>
          <w:sz w:val="20"/>
          <w:szCs w:val="20"/>
          <w:color w:val="auto"/>
        </w:rPr>
      </w:pPr>
    </w:p>
    <w:p>
      <w:pPr>
        <w:ind w:left="640" w:right="70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the market price and trading volume of technology companies in general and of companies in the digital advertising industry in particular;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 or financial projections;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or regulatory developments or actions, or litigation involving us, our industry, or both;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trends or catastrophic events in our domestic and foreign markets.</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instituted against us, it could subject us to substantial costs, divert management’s attention and resources, and adversely affect our business.</w:t>
      </w:r>
    </w:p>
    <w:p>
      <w:pPr>
        <w:spacing w:after="0" w:line="189"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5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June 30, 2022, our directors and officers, and their respective affiliates, beneficially owned in the aggregate approximately 66%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2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48" w:lineRule="exact"/>
        <w:rPr>
          <w:sz w:val="20"/>
          <w:szCs w:val="20"/>
          <w:color w:val="auto"/>
        </w:rPr>
      </w:pPr>
    </w:p>
    <w:p>
      <w:pPr>
        <w:jc w:val="both"/>
        <w:ind w:left="640" w:hanging="316"/>
        <w:spacing w:after="0" w:line="25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13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6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127" w:lineRule="exact"/>
        <w:rPr>
          <w:rFonts w:ascii="Arial" w:cs="Arial" w:eastAsia="Arial" w:hAnsi="Arial"/>
          <w:sz w:val="18"/>
          <w:szCs w:val="18"/>
          <w:color w:val="auto"/>
        </w:rPr>
      </w:pPr>
    </w:p>
    <w:p>
      <w:pPr>
        <w:ind w:left="640" w:right="24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127" w:lineRule="exact"/>
        <w:rPr>
          <w:rFonts w:ascii="Arial" w:cs="Arial" w:eastAsia="Arial" w:hAnsi="Arial"/>
          <w:sz w:val="18"/>
          <w:szCs w:val="18"/>
          <w:color w:val="auto"/>
        </w:rPr>
      </w:pPr>
    </w:p>
    <w:p>
      <w:pPr>
        <w:ind w:left="640" w:right="6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104" w:lineRule="exact"/>
        <w:rPr>
          <w:rFonts w:ascii="Arial" w:cs="Arial" w:eastAsia="Arial" w:hAnsi="Arial"/>
          <w:sz w:val="17"/>
          <w:szCs w:val="17"/>
          <w:color w:val="auto"/>
        </w:rPr>
      </w:pPr>
    </w:p>
    <w:p>
      <w:pPr>
        <w:ind w:left="640" w:right="36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127" w:lineRule="exact"/>
        <w:rPr>
          <w:rFonts w:ascii="Arial" w:cs="Arial" w:eastAsia="Arial" w:hAnsi="Arial"/>
          <w:sz w:val="18"/>
          <w:szCs w:val="18"/>
          <w:color w:val="auto"/>
        </w:rPr>
      </w:pPr>
    </w:p>
    <w:p>
      <w:pPr>
        <w:jc w:val="both"/>
        <w:ind w:left="640" w:right="300" w:hanging="316"/>
        <w:spacing w:after="0" w:line="277"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1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117" w:lineRule="exact"/>
        <w:rPr>
          <w:sz w:val="20"/>
          <w:szCs w:val="20"/>
          <w:color w:val="auto"/>
        </w:rPr>
      </w:pPr>
    </w:p>
    <w:p>
      <w:pPr>
        <w:ind w:right="200" w:firstLine="318"/>
        <w:spacing w:after="0" w:line="306" w:lineRule="auto"/>
        <w:rPr>
          <w:sz w:val="20"/>
          <w:szCs w:val="20"/>
          <w:color w:val="auto"/>
        </w:rPr>
      </w:pPr>
      <w:r>
        <w:rPr>
          <w:rFonts w:ascii="Arial" w:cs="Arial" w:eastAsia="Arial" w:hAnsi="Arial"/>
          <w:sz w:val="15"/>
          <w:szCs w:val="15"/>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meet the continued listing requirements of the Nasdaq Global Market, the Nasdaq may delist our Class A common stock.</w:t>
      </w:r>
    </w:p>
    <w:p>
      <w:pPr>
        <w:spacing w:after="0" w:line="19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On December 29, 2021, we received notification from the Nasdaq Global Market (“Nasdaq”) regarding our noncompliance with Nasdaq Listing Rule 5605(c)(2) (“Rule 5605”), which requires that our audit committee be comprised of a minimum of three independent directors. Our noncompliance occurred as the result of the passing of one of our directors, Narendra Gupta, who was one of the three members of our audit committee. On June 3, 2022, we appointed additional two additional independent directors to our audit committee, and on June 9, 2022, we received a letter from Nasdaq confirming that we had regained compliance with Rule 5605.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If in the future we are unable to maintain our listing on Nasdaq for any reason, it may become more difficult for our stockholders to sell our stock in the public market, and the price of our Class A common stock may be adversely affected due to the likelihood of decreased liquidity resulting from delisting.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ind w:left="500"/>
              <w:spacing w:after="0"/>
              <w:rPr>
                <w:sz w:val="20"/>
                <w:szCs w:val="20"/>
                <w:color w:val="auto"/>
              </w:rPr>
            </w:pPr>
            <w:r>
              <w:rPr>
                <w:rFonts w:ascii="Arial" w:cs="Arial" w:eastAsia="Arial" w:hAnsi="Arial"/>
                <w:sz w:val="14"/>
                <w:szCs w:val="14"/>
                <w:b w:val="1"/>
                <w:bCs w:val="1"/>
                <w:color w:val="auto"/>
                <w:w w:val="95"/>
              </w:rPr>
              <w:t>Incorporated by Reference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620" w:type="dxa"/>
            <w:vAlign w:val="bottom"/>
            <w:gridSpan w:val="9"/>
          </w:tcPr>
          <w:p>
            <w:pPr>
              <w:spacing w:after="0"/>
              <w:rPr>
                <w:sz w:val="20"/>
                <w:szCs w:val="20"/>
                <w:color w:val="auto"/>
              </w:rPr>
            </w:pPr>
            <w:r>
              <w:rPr>
                <w:rFonts w:ascii="Arial" w:cs="Arial" w:eastAsia="Arial" w:hAnsi="Arial"/>
                <w:sz w:val="14"/>
                <w:szCs w:val="14"/>
                <w:b w:val="1"/>
                <w:bCs w:val="1"/>
                <w:color w:val="auto"/>
              </w:rPr>
              <w:t>Description of Document</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24"/>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67">
              <w:r>
                <w:rPr>
                  <w:rFonts w:ascii="Arial" w:cs="Arial" w:eastAsia="Arial" w:hAnsi="Arial"/>
                  <w:sz w:val="16"/>
                  <w:szCs w:val="16"/>
                  <w:color w:val="0000FF"/>
                  <w:w w:val="91"/>
                </w:rPr>
                <w:t>Certification of Chief Executive Officer pursuant to Rules 13a-14(a)</w:t>
              </w:r>
            </w:hyperlink>
          </w:p>
        </w:tc>
        <w:tc>
          <w:tcPr>
            <w:tcW w:w="260" w:type="dxa"/>
            <w:vAlign w:val="bottom"/>
            <w:gridSpan w:val="4"/>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FF"/>
            </w:tcBorders>
            <w:gridSpan w:val="6"/>
          </w:tcPr>
          <w:p>
            <w:pPr>
              <w:spacing w:after="0" w:line="165" w:lineRule="exact"/>
              <w:rPr>
                <w:rFonts w:ascii="Arial" w:cs="Arial" w:eastAsia="Arial" w:hAnsi="Arial"/>
                <w:sz w:val="16"/>
                <w:szCs w:val="16"/>
                <w:color w:val="0000FF"/>
                <w:w w:val="88"/>
              </w:rPr>
            </w:pPr>
            <w:hyperlink w:anchor="page67">
              <w:r>
                <w:rPr>
                  <w:rFonts w:ascii="Arial" w:cs="Arial" w:eastAsia="Arial" w:hAnsi="Arial"/>
                  <w:sz w:val="16"/>
                  <w:szCs w:val="16"/>
                  <w:color w:val="0000FF"/>
                  <w:w w:val="88"/>
                </w:rPr>
                <w:t>and 15d-14(a) under the Securities Exchange Act of 1934, as adopted</w:t>
              </w:r>
            </w:hyperlink>
          </w:p>
        </w:tc>
        <w:tc>
          <w:tcPr>
            <w:tcW w:w="2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9"/>
          </w:tcPr>
          <w:p>
            <w:pPr>
              <w:spacing w:after="0" w:line="165" w:lineRule="exact"/>
              <w:rPr>
                <w:rFonts w:ascii="Arial" w:cs="Arial" w:eastAsia="Arial" w:hAnsi="Arial"/>
                <w:sz w:val="16"/>
                <w:szCs w:val="16"/>
                <w:color w:val="0000FF"/>
              </w:rPr>
            </w:pPr>
            <w:hyperlink w:anchor="page67">
              <w:r>
                <w:rPr>
                  <w:rFonts w:ascii="Arial" w:cs="Arial" w:eastAsia="Arial" w:hAnsi="Arial"/>
                  <w:sz w:val="16"/>
                  <w:szCs w:val="16"/>
                  <w:color w:val="0000FF"/>
                </w:rPr>
                <w:t>pursuant to Section 302 of the Sarbanes-Oxley Act of 2002.</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rFonts w:ascii="Arial" w:cs="Arial" w:eastAsia="Arial" w:hAnsi="Arial"/>
                <w:sz w:val="16"/>
                <w:szCs w:val="16"/>
                <w:color w:val="0000FF"/>
                <w:w w:val="98"/>
              </w:rPr>
            </w:pPr>
            <w:hyperlink w:anchor="page69">
              <w:r>
                <w:rPr>
                  <w:rFonts w:ascii="Arial" w:cs="Arial" w:eastAsia="Arial" w:hAnsi="Arial"/>
                  <w:sz w:val="16"/>
                  <w:szCs w:val="16"/>
                  <w:color w:val="0000FF"/>
                  <w:w w:val="98"/>
                </w:rPr>
                <w:t>Certification of Chief Financial Officer pursuant to Rules 13a-14(a)</w:t>
              </w:r>
            </w:hyperlink>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FF"/>
            </w:tcBorders>
            <w:gridSpan w:val="6"/>
          </w:tcPr>
          <w:p>
            <w:pPr>
              <w:spacing w:after="0" w:line="165" w:lineRule="exact"/>
              <w:rPr>
                <w:rFonts w:ascii="Arial" w:cs="Arial" w:eastAsia="Arial" w:hAnsi="Arial"/>
                <w:sz w:val="16"/>
                <w:szCs w:val="16"/>
                <w:color w:val="0000FF"/>
                <w:w w:val="88"/>
              </w:rPr>
            </w:pPr>
            <w:hyperlink w:anchor="page69">
              <w:r>
                <w:rPr>
                  <w:rFonts w:ascii="Arial" w:cs="Arial" w:eastAsia="Arial" w:hAnsi="Arial"/>
                  <w:sz w:val="16"/>
                  <w:szCs w:val="16"/>
                  <w:color w:val="0000FF"/>
                  <w:w w:val="88"/>
                </w:rPr>
                <w:t>and 15d-14(a) under the Securities Exchange Act of 1934, as adopted</w:t>
              </w:r>
            </w:hyperlink>
          </w:p>
        </w:tc>
        <w:tc>
          <w:tcPr>
            <w:tcW w:w="2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9"/>
          </w:tcPr>
          <w:p>
            <w:pPr>
              <w:spacing w:after="0" w:line="165" w:lineRule="exact"/>
              <w:rPr>
                <w:rFonts w:ascii="Arial" w:cs="Arial" w:eastAsia="Arial" w:hAnsi="Arial"/>
                <w:sz w:val="16"/>
                <w:szCs w:val="16"/>
                <w:color w:val="0000FF"/>
              </w:rPr>
            </w:pPr>
            <w:hyperlink w:anchor="page69">
              <w:r>
                <w:rPr>
                  <w:rFonts w:ascii="Arial" w:cs="Arial" w:eastAsia="Arial" w:hAnsi="Arial"/>
                  <w:sz w:val="16"/>
                  <w:szCs w:val="16"/>
                  <w:color w:val="0000FF"/>
                </w:rPr>
                <w:t>pursuant to Section 302 of the Sarbanes-Oxley Act of 2002.</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80" w:type="dxa"/>
            <w:vAlign w:val="bottom"/>
            <w:tcBorders>
              <w:bottom w:val="single" w:sz="8" w:color="0000FF"/>
            </w:tcBorders>
            <w:gridSpan w:val="7"/>
          </w:tcPr>
          <w:p>
            <w:pPr>
              <w:spacing w:after="0"/>
              <w:rPr>
                <w:rFonts w:ascii="Arial" w:cs="Arial" w:eastAsia="Arial" w:hAnsi="Arial"/>
                <w:sz w:val="16"/>
                <w:szCs w:val="16"/>
                <w:color w:val="0000FF"/>
                <w:w w:val="91"/>
              </w:rPr>
            </w:pPr>
            <w:hyperlink w:anchor="page71">
              <w:r>
                <w:rPr>
                  <w:rFonts w:ascii="Arial" w:cs="Arial" w:eastAsia="Arial" w:hAnsi="Arial"/>
                  <w:sz w:val="16"/>
                  <w:szCs w:val="16"/>
                  <w:color w:val="0000FF"/>
                  <w:w w:val="91"/>
                </w:rPr>
                <w:t>Certification of Chief Executive Officer pursuant to 18 U.S.C. Section</w:t>
              </w:r>
            </w:hyperlink>
          </w:p>
        </w:tc>
        <w:tc>
          <w:tcPr>
            <w:tcW w:w="140" w:type="dxa"/>
            <w:vAlign w:val="bottom"/>
            <w:gridSpan w:val="2"/>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9"/>
          </w:tcPr>
          <w:p>
            <w:pPr>
              <w:spacing w:after="0" w:line="165" w:lineRule="exact"/>
              <w:rPr>
                <w:rFonts w:ascii="Arial" w:cs="Arial" w:eastAsia="Arial" w:hAnsi="Arial"/>
                <w:sz w:val="16"/>
                <w:szCs w:val="16"/>
                <w:color w:val="0000FF"/>
                <w:w w:val="94"/>
              </w:rPr>
            </w:pPr>
            <w:hyperlink w:anchor="page71">
              <w:r>
                <w:rPr>
                  <w:rFonts w:ascii="Arial" w:cs="Arial" w:eastAsia="Arial" w:hAnsi="Arial"/>
                  <w:sz w:val="16"/>
                  <w:szCs w:val="16"/>
                  <w:color w:val="0000FF"/>
                  <w:w w:val="94"/>
                </w:rPr>
                <w:t>1350, as adopted pursuant to Section 906 of the Sarbanes-Oxley Act</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4"/>
          </w:tcPr>
          <w:p>
            <w:pPr>
              <w:spacing w:after="0" w:line="165" w:lineRule="exact"/>
              <w:rPr>
                <w:rFonts w:ascii="Arial" w:cs="Arial" w:eastAsia="Arial" w:hAnsi="Arial"/>
                <w:sz w:val="16"/>
                <w:szCs w:val="16"/>
                <w:color w:val="0000FF"/>
              </w:rPr>
            </w:pPr>
            <w:hyperlink w:anchor="page71">
              <w:r>
                <w:rPr>
                  <w:rFonts w:ascii="Arial" w:cs="Arial" w:eastAsia="Arial" w:hAnsi="Arial"/>
                  <w:sz w:val="16"/>
                  <w:szCs w:val="16"/>
                  <w:color w:val="0000FF"/>
                </w:rPr>
                <w:t>of 2002.</w:t>
              </w:r>
            </w:hyperlink>
          </w:p>
        </w:tc>
        <w:tc>
          <w:tcPr>
            <w:tcW w:w="2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9"/>
          </w:tcPr>
          <w:p>
            <w:pPr>
              <w:spacing w:after="0"/>
              <w:rPr>
                <w:rFonts w:ascii="Arial" w:cs="Arial" w:eastAsia="Arial" w:hAnsi="Arial"/>
                <w:sz w:val="16"/>
                <w:szCs w:val="16"/>
                <w:color w:val="0000FF"/>
                <w:w w:val="95"/>
              </w:rPr>
            </w:pPr>
            <w:hyperlink w:anchor="page72">
              <w:r>
                <w:rPr>
                  <w:rFonts w:ascii="Arial" w:cs="Arial" w:eastAsia="Arial" w:hAnsi="Arial"/>
                  <w:sz w:val="16"/>
                  <w:szCs w:val="16"/>
                  <w:color w:val="0000FF"/>
                  <w:w w:val="95"/>
                </w:rPr>
                <w:t>Certification of Chief Financial Officer pursuant to 18 U.S.C. Section</w:t>
              </w:r>
            </w:hyperlink>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6"/>
          </w:tcPr>
          <w:p>
            <w:pPr>
              <w:spacing w:after="0" w:line="165" w:lineRule="exact"/>
              <w:rPr>
                <w:rFonts w:ascii="Arial" w:cs="Arial" w:eastAsia="Arial" w:hAnsi="Arial"/>
                <w:sz w:val="16"/>
                <w:szCs w:val="16"/>
                <w:color w:val="0000FF"/>
                <w:w w:val="90"/>
              </w:rPr>
            </w:pPr>
            <w:hyperlink w:anchor="page72">
              <w:r>
                <w:rPr>
                  <w:rFonts w:ascii="Arial" w:cs="Arial" w:eastAsia="Arial" w:hAnsi="Arial"/>
                  <w:sz w:val="16"/>
                  <w:szCs w:val="16"/>
                  <w:color w:val="0000FF"/>
                  <w:w w:val="90"/>
                </w:rPr>
                <w:t>1350, as adopted pursuant to Section 906 of the Sarbanes-Oxley Act</w:t>
              </w:r>
            </w:hyperlink>
          </w:p>
        </w:tc>
        <w:tc>
          <w:tcPr>
            <w:tcW w:w="2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4"/>
          </w:tcPr>
          <w:p>
            <w:pPr>
              <w:spacing w:after="0" w:line="165" w:lineRule="exact"/>
              <w:rPr>
                <w:rFonts w:ascii="Arial" w:cs="Arial" w:eastAsia="Arial" w:hAnsi="Arial"/>
                <w:sz w:val="16"/>
                <w:szCs w:val="16"/>
                <w:color w:val="0000FF"/>
              </w:rPr>
            </w:pPr>
            <w:hyperlink w:anchor="page72">
              <w:r>
                <w:rPr>
                  <w:rFonts w:ascii="Arial" w:cs="Arial" w:eastAsia="Arial" w:hAnsi="Arial"/>
                  <w:sz w:val="16"/>
                  <w:szCs w:val="16"/>
                  <w:color w:val="0000FF"/>
                </w:rPr>
                <w:t>of 2002.</w:t>
              </w:r>
            </w:hyperlink>
          </w:p>
        </w:tc>
        <w:tc>
          <w:tcPr>
            <w:tcW w:w="2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w w:val="96"/>
              </w:rPr>
              <w:t>Inline XBRL Instance Document — the instance document does not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embedded within the Inline XBRL document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w w:val="98"/>
              </w:rPr>
              <w:t>Inline XBRL Taxonomy Extension Calculation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w w:val="96"/>
              </w:rPr>
              <w:t>Inline XBRL Taxonomy Extension Presentation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9"/>
          </w:tcPr>
          <w:p>
            <w:pPr>
              <w:spacing w:after="0"/>
              <w:rPr>
                <w:sz w:val="20"/>
                <w:szCs w:val="20"/>
                <w:color w:val="auto"/>
              </w:rPr>
            </w:pPr>
            <w:r>
              <w:rPr>
                <w:rFonts w:ascii="Arial" w:cs="Arial" w:eastAsia="Arial" w:hAnsi="Arial"/>
                <w:sz w:val="16"/>
                <w:szCs w:val="16"/>
                <w:color w:val="auto"/>
              </w:rPr>
              <w:t>contained in Exhibit 101)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37" w:lineRule="exact"/>
        <w:rPr>
          <w:sz w:val="20"/>
          <w:szCs w:val="20"/>
          <w:color w:val="auto"/>
        </w:rPr>
      </w:pPr>
    </w:p>
    <w:p>
      <w:pPr>
        <w:ind w:left="320" w:right="60" w:hanging="314"/>
        <w:spacing w:after="0" w:line="251" w:lineRule="auto"/>
        <w:tabs>
          <w:tab w:leader="none" w:pos="28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August 8, 2022</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PUBMATIC, INC.</w:t>
      </w:r>
    </w:p>
    <w:p>
      <w:pPr>
        <w:spacing w:after="0" w:line="329" w:lineRule="exact"/>
        <w:rPr>
          <w:sz w:val="20"/>
          <w:szCs w:val="20"/>
          <w:color w:val="auto"/>
        </w:rPr>
      </w:pPr>
    </w:p>
    <w:p>
      <w:pPr>
        <w:ind w:left="5000"/>
        <w:spacing w:after="0"/>
        <w:tabs>
          <w:tab w:leader="none" w:pos="5480" w:val="left"/>
        </w:tabs>
        <w:rPr>
          <w:sz w:val="20"/>
          <w:szCs w:val="20"/>
          <w:color w:val="auto"/>
        </w:rPr>
      </w:pPr>
      <w:r>
        <w:rPr>
          <w:rFonts w:ascii="Arial" w:cs="Arial" w:eastAsia="Arial" w:hAnsi="Arial"/>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27940</wp:posOffset>
            </wp:positionV>
            <wp:extent cx="3651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51250" cy="8255"/>
                    </a:xfrm>
                    <a:prstGeom prst="rect">
                      <a:avLst/>
                    </a:prstGeom>
                    <a:noFill/>
                  </pic:spPr>
                </pic:pic>
              </a:graphicData>
            </a:graphic>
          </wp:anchor>
        </w:drawing>
      </w:r>
    </w:p>
    <w:p>
      <w:pPr>
        <w:spacing w:after="0" w:line="5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40"/>
          </w:cols>
          <w:pgMar w:left="320" w:top="127" w:right="5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4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ind w:left="640" w:right="320" w:hanging="316"/>
        <w:spacing w:after="0" w:line="22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60" w:hanging="320"/>
        <w:spacing w:after="0" w:line="229" w:lineRule="auto"/>
        <w:tabs>
          <w:tab w:leader="none" w:pos="12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67" w:name="page68"/>
    <w:bookmarkEnd w:id="67"/>
    <w:p>
      <w:pPr>
        <w:spacing w:after="0" w:line="25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jc w:val="right"/>
        <w:ind w:right="255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4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ind w:left="640" w:right="320" w:hanging="316"/>
        <w:spacing w:after="0" w:line="22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60" w:hanging="320"/>
        <w:spacing w:after="0" w:line="229"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69" w:name="page70"/>
    <w:bookmarkEnd w:id="69"/>
    <w:p>
      <w:pPr>
        <w:spacing w:after="0" w:line="1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jc w:val="right"/>
        <w:ind w:right="2559"/>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7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EXECUTIVE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Rajeev K. Goel, Chief Executive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40" w:hanging="316"/>
        <w:spacing w:after="0" w:line="264"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42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7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FINANCIAL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Steven Pantelick, Chief Financial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40" w:hanging="316"/>
        <w:spacing w:after="0" w:line="264" w:lineRule="auto"/>
        <w:tabs>
          <w:tab w:leader="none" w:pos="6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9"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2022-08-09T05:23:36Z</dcterms:created>
  <dcterms:modified xsi:type="dcterms:W3CDTF">2022-08-09T05:23:36Z</dcterms:modified>
</cp:coreProperties>
</file>