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52026_091043.xml.htm"/>
      <w:bookmarkStart w:id="1" w:name="ksform410052026_0910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Kumar Mukul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ENGINEERING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19,974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132,919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7,176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18.9289</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125,743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19.4304</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125,041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4,280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4,014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29,883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8,360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108,681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sold by the Reporting Person to cover tax withholding obligations in connection with the vesting and settlement of restricted stock units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this line item is a weighted average price. These shares were sold as part of pooled trades for multiple security holders of the Issuer at prices ranging from $18.38 to $19.3725, inclusive. The Reporting Person undertakes to provide to the Issuer, any securityholder of the Issuer or the staff of the Securities and Exchange Commission, upon request, full information regarding the number of shares sold at each separate price within the range set forth herein with regard to the pooled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this line item is a weighted average price. These shares were sold as part of pooled trades for multiple security holders of the Issuer at prices ranging from $19.42 to $19.44, inclusive. The Reporting Person undertakes to provide to the Issuer, any securityholder of the Issuer or the staff of the Securities and Exchange Commission, upon request, full information regarding the number of shares sold at each separate price within the range set forth herein with regard to the pooled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represents a right to receive one share of the Issuer's Class A Common Stock at the time of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vested as to 1/16th of the total award on April 1, 2023,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RSUs do not expire; they either vest or are canceled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vested as to 1/16th of the total award on April 1, 2024,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vested as to 1/16th of the total award on April 1, 2025,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vested as to 1/16th of the total award on April 1, 2026, and 1/16th of the total award will vest quarterly thereafter,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3462"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1077</Words>
  <Characters>5527</Characters>
  <CharactersWithSpaces>6464</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