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7062026_100755.xml.htm"/>
      <w:bookmarkStart w:id="1" w:name="ksform407062026_100755"/>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Goel Rajeev K.</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PUBMATIC,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601 MARSHALL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REDWOOD CITY</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94063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PubMatic, Inc.</w:t>
              </w:r>
            </w:hyperlink>
            <w:r>
              <w:rPr/>
              <w:t xml:space="preserve"> [ </w:t>
            </w:r>
            <w:r>
              <w:rPr>
                <w:rFonts w:ascii="Times;serif" w:hAnsi="Times;serif"/>
                <w:color w:val="0000FF"/>
                <w:sz w:val="24"/>
                <w:shd w:fill="FFFFFF" w:val="clear"/>
              </w:rPr>
              <w:t>PUBM</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pPr>
                  <w:r>
                    <w:rPr>
                      <w:rFonts w:ascii="Times;serif" w:hAnsi="Times;serif"/>
                      <w:color w:val="0000FF"/>
                      <w:sz w:val="24"/>
                      <w:shd w:fill="FFFFFF" w:val="clear"/>
                    </w:rPr>
                    <w:t>CHIEF EXECUTIVE OFFICER</w:t>
                  </w:r>
                  <w:r>
                    <w:rPr/>
                    <w:t xml:space="preserve"> </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07/01/2026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51"/>
        <w:gridCol w:w="912"/>
        <w:gridCol w:w="782"/>
        <w:gridCol w:w="605"/>
        <w:gridCol w:w="343"/>
        <w:gridCol w:w="964"/>
        <w:gridCol w:w="435"/>
        <w:gridCol w:w="981"/>
        <w:gridCol w:w="1134"/>
        <w:gridCol w:w="978"/>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5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8"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8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3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6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3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5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07/01/2026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17,176</w:t>
            </w:r>
          </w:p>
        </w:tc>
        <w:tc>
          <w:tcPr>
            <w:tcW w:w="4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17,176</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5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Class A Common Stock</w:t>
            </w:r>
            <w:r>
              <w:rPr>
                <w:rFonts w:ascii="Times;serif" w:hAnsi="Times;serif"/>
                <w:color w:val="008000"/>
                <w:position w:val="7"/>
                <w:sz w:val="16"/>
                <w:sz w:val="20"/>
                <w:shd w:fill="FFFFFF" w:val="clear"/>
              </w:rPr>
              <w:t>(2)</w:t>
            </w:r>
            <w:r>
              <w:rPr/>
              <w:t xml:space="preserve"> </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07/01/2026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(3)</w:t>
            </w:r>
            <w:r>
              <w:rPr/>
              <w:t xml:space="preserve"> </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17,176</w:t>
            </w:r>
            <w:r>
              <w:rPr>
                <w:rFonts w:ascii="Times;serif" w:hAnsi="Times;serif"/>
                <w:color w:val="008000"/>
                <w:position w:val="7"/>
                <w:sz w:val="16"/>
                <w:sz w:val="20"/>
                <w:shd w:fill="FFFFFF" w:val="clear"/>
              </w:rPr>
              <w:t>(4)</w:t>
            </w:r>
            <w:r>
              <w:rPr/>
              <w:t xml:space="preserve"> </w:t>
            </w:r>
          </w:p>
        </w:tc>
        <w:tc>
          <w:tcPr>
            <w:tcW w:w="4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13.9142</w:t>
            </w:r>
            <w:r>
              <w:rPr>
                <w:rFonts w:ascii="Times;serif" w:hAnsi="Times;serif"/>
                <w:color w:val="008000"/>
                <w:position w:val="7"/>
                <w:sz w:val="16"/>
                <w:sz w:val="20"/>
                <w:shd w:fill="FFFFFF" w:val="clear"/>
              </w:rPr>
              <w:t>(5)</w:t>
            </w:r>
            <w:r>
              <w:rPr/>
              <w:t xml:space="preserve"> </w:t>
            </w:r>
          </w:p>
        </w:tc>
        <w:tc>
          <w:tcPr>
            <w:tcW w:w="11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5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07/01/2026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97,655</w:t>
            </w:r>
          </w:p>
        </w:tc>
        <w:tc>
          <w:tcPr>
            <w:tcW w:w="4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97,655</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5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07/02/2026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(6)</w:t>
            </w:r>
            <w:r>
              <w:rPr/>
              <w:t xml:space="preserve"> </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50,354</w:t>
            </w:r>
          </w:p>
        </w:tc>
        <w:tc>
          <w:tcPr>
            <w:tcW w:w="4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13.6485</w:t>
            </w:r>
            <w:r>
              <w:rPr>
                <w:rFonts w:ascii="Times;serif" w:hAnsi="Times;serif"/>
                <w:color w:val="008000"/>
                <w:position w:val="7"/>
                <w:sz w:val="16"/>
                <w:sz w:val="20"/>
                <w:shd w:fill="FFFFFF" w:val="clear"/>
              </w:rPr>
              <w:t>(7)</w:t>
            </w:r>
            <w:r>
              <w:rPr/>
              <w:t xml:space="preserve"> </w:t>
            </w:r>
          </w:p>
        </w:tc>
        <w:tc>
          <w:tcPr>
            <w:tcW w:w="11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47,301</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5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07/02/2026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8,500</w:t>
            </w:r>
          </w:p>
        </w:tc>
        <w:tc>
          <w:tcPr>
            <w:tcW w:w="4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55,801</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5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Class A Common Stock</w:t>
            </w:r>
            <w:r>
              <w:rPr>
                <w:rFonts w:ascii="Times;serif" w:hAnsi="Times;serif"/>
                <w:color w:val="008000"/>
                <w:position w:val="7"/>
                <w:sz w:val="16"/>
                <w:sz w:val="20"/>
                <w:shd w:fill="FFFFFF" w:val="clear"/>
              </w:rPr>
              <w:t>(2)</w:t>
            </w:r>
            <w:r>
              <w:rPr/>
              <w:t xml:space="preserve"> </w:t>
            </w:r>
          </w:p>
        </w:tc>
        <w:tc>
          <w:tcPr>
            <w:tcW w:w="91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07/02/2026</w:t>
            </w:r>
          </w:p>
        </w:tc>
        <w:tc>
          <w:tcPr>
            <w:tcW w:w="7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(3)</w:t>
            </w:r>
            <w:r>
              <w:rPr/>
              <w:t xml:space="preserve"> </w:t>
            </w:r>
          </w:p>
        </w:tc>
        <w:tc>
          <w:tcPr>
            <w:tcW w:w="34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8,500</w:t>
            </w:r>
            <w:r>
              <w:rPr>
                <w:rFonts w:ascii="Times;serif" w:hAnsi="Times;serif"/>
                <w:color w:val="008000"/>
                <w:position w:val="7"/>
                <w:sz w:val="16"/>
                <w:sz w:val="20"/>
                <w:shd w:fill="FFFFFF" w:val="clear"/>
              </w:rPr>
              <w:t>(4)</w:t>
            </w:r>
            <w:r>
              <w:rPr/>
              <w:t xml:space="preserve"> </w:t>
            </w:r>
          </w:p>
        </w:tc>
        <w:tc>
          <w:tcPr>
            <w:tcW w:w="43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13.9</w:t>
            </w:r>
            <w:r>
              <w:rPr/>
              <w:t xml:space="preserve"> </w:t>
            </w:r>
          </w:p>
        </w:tc>
        <w:tc>
          <w:tcPr>
            <w:tcW w:w="113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47,301</w:t>
            </w:r>
          </w:p>
        </w:tc>
        <w:tc>
          <w:tcPr>
            <w:tcW w:w="97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80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711"/>
        <w:gridCol w:w="711"/>
        <w:gridCol w:w="906"/>
        <w:gridCol w:w="801"/>
        <w:gridCol w:w="891"/>
        <w:gridCol w:w="921"/>
        <w:gridCol w:w="801"/>
        <w:gridCol w:w="936"/>
        <w:gridCol w:w="831"/>
        <w:gridCol w:w="906"/>
      </w:tblGrid>
      <w:tr>
        <w:trPr>
          <w:tblHeader w:val="true"/>
        </w:trPr>
        <w:tc>
          <w:tcPr>
            <w:tcW w:w="1280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42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rFonts w:ascii="Times;serif" w:hAnsi="Times;serif"/>
                <w:color w:val="008000"/>
                <w:position w:val="7"/>
                <w:sz w:val="16"/>
                <w:sz w:val="20"/>
                <w:shd w:fill="FFFFFF" w:val="clear"/>
              </w:rPr>
              <w:t>(8)</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23,042</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(9)</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(10)</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23,042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46,085</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rFonts w:ascii="Times;serif" w:hAnsi="Times;serif"/>
                <w:color w:val="008000"/>
                <w:position w:val="7"/>
                <w:sz w:val="16"/>
                <w:sz w:val="20"/>
                <w:shd w:fill="FFFFFF" w:val="clear"/>
              </w:rPr>
              <w:t>(8)</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14,410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(11)</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(10)</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14,410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86,463</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rFonts w:ascii="Times;serif" w:hAnsi="Times;serif"/>
                <w:color w:val="008000"/>
                <w:position w:val="7"/>
                <w:sz w:val="16"/>
                <w:sz w:val="20"/>
                <w:shd w:fill="FFFFFF" w:val="clear"/>
              </w:rPr>
              <w:t>(8)</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16,827</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(12)</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(10)</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16,827</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168,269</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rFonts w:ascii="Times;serif" w:hAnsi="Times;serif"/>
                <w:color w:val="008000"/>
                <w:position w:val="7"/>
                <w:sz w:val="16"/>
                <w:sz w:val="20"/>
                <w:shd w:fill="FFFFFF" w:val="clear"/>
              </w:rPr>
              <w:t>(8)</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43,376</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(13)</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(10)</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43,376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607,265</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 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3.89</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17,176</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(14)</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03/13/2028</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17,176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332,824</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17,176</w:t>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17,176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3.89</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228,160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17,176</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17,176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210,984</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 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3.89</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07/02/2026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8,500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(14)</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03/13/2028</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8,500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324,324</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07/02/2026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8,500</w:t>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8,500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3.89</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219,484</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07/02/2026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8,500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8,500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210,984</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581,260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581,260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footnote</w:t>
            </w:r>
            <w:r>
              <w:rPr>
                <w:rFonts w:ascii="Times;serif" w:hAnsi="Times;serif"/>
                <w:color w:val="008000"/>
                <w:position w:val="7"/>
                <w:sz w:val="16"/>
                <w:sz w:val="20"/>
                <w:shd w:fill="FFFFFF" w:val="clear"/>
              </w:rPr>
              <w:t>(15)</w:t>
            </w:r>
            <w:r>
              <w:rPr/>
              <w:t xml:space="preserve"> </w:t>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68,616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68,616</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footnote</w:t>
            </w:r>
            <w:r>
              <w:rPr>
                <w:rFonts w:ascii="Times;serif" w:hAnsi="Times;serif"/>
                <w:color w:val="008000"/>
                <w:position w:val="7"/>
                <w:sz w:val="16"/>
                <w:sz w:val="20"/>
                <w:shd w:fill="FFFFFF" w:val="clear"/>
              </w:rPr>
              <w:t>(16)</w:t>
            </w:r>
            <w:r>
              <w:rPr/>
              <w:t xml:space="preserve"> </w:t>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400,000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400,000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footnote</w:t>
            </w:r>
            <w:r>
              <w:rPr>
                <w:rFonts w:ascii="Times;serif" w:hAnsi="Times;serif"/>
                <w:color w:val="008000"/>
                <w:position w:val="7"/>
                <w:sz w:val="16"/>
                <w:sz w:val="20"/>
                <w:shd w:fill="FFFFFF" w:val="clear"/>
              </w:rPr>
              <w:t>(17)</w:t>
            </w:r>
            <w:r>
              <w:rPr/>
              <w:t xml:space="preserve"> </w:t>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308,775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308,775</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footnote</w:t>
            </w:r>
            <w:r>
              <w:rPr>
                <w:rFonts w:ascii="Times;serif" w:hAnsi="Times;serif"/>
                <w:color w:val="008000"/>
                <w:position w:val="7"/>
                <w:sz w:val="16"/>
                <w:sz w:val="20"/>
                <w:shd w:fill="FFFFFF" w:val="clear"/>
              </w:rPr>
              <w:t>(18)</w:t>
            </w:r>
            <w:r>
              <w:rPr/>
              <w:t xml:space="preserve"> </w:t>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308,775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308,775</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footnote</w:t>
            </w:r>
            <w:r>
              <w:rPr>
                <w:rFonts w:ascii="Times;serif" w:hAnsi="Times;serif"/>
                <w:color w:val="008000"/>
                <w:position w:val="7"/>
                <w:sz w:val="16"/>
                <w:sz w:val="20"/>
                <w:shd w:fill="FFFFFF" w:val="clear"/>
              </w:rPr>
              <w:t>(18)</w:t>
            </w:r>
            <w:r>
              <w:rPr/>
              <w:t xml:space="preserve"> </w:t>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483,784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483,784</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footnote</w:t>
            </w:r>
            <w:r>
              <w:rPr>
                <w:rFonts w:ascii="Times;serif" w:hAnsi="Times;serif"/>
                <w:color w:val="008000"/>
                <w:position w:val="7"/>
                <w:sz w:val="16"/>
                <w:sz w:val="20"/>
                <w:shd w:fill="FFFFFF" w:val="clear"/>
              </w:rPr>
              <w:t>(19)</w:t>
            </w:r>
            <w:r>
              <w:rPr/>
              <w:t xml:space="preserve"> </w:t>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share of Class B common stock held by the Issuer's executive officers, directors and their respective affiliates will convert automatically into one share of Class A common stock upon any transfer, except for certain permitted transfers.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Following the sales reported in this line item, Mr. Goel holds 2,409,495 shares of Class A Common Stock and Class B Common Stock, which figure does not reflect vested but unexercised options, unvested options, or unvested restricted stock units, each as of the date of filing. The option award under which these shares were exercised expires on May 1, 2027.</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sales reported in this line item were effected pursuant to a Rule 10b5-1 trading plan adopted by the Reporting Person on March 5,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These securities were transferred by the Reporting Person to The Goel Family Trust, of which the Reporting Person and his spouse are beneficiaries, and were sold by the Goel Family Trust as reported 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Represents the weighted average sale price. The lowest price at which shares were sold was $13.90 and the highest price at which shares were sold was $13.97. The Reporting Person undertakes to provide upon request to the staff of the Securities and Exchange Commission, the Issuer or its stockholders, full information regarding the total number of shares sold at each separate price within the range set forth 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sales reported in this line item represent shares sold by the Reporting Person to cover tax withholding obligations in connection with the vesting and settlement of restricted stock units ("RSUs"). The sales were to satisfy tax withholding obligations to be funded by a "sell to cover" transaction.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 price reported in this line item is a weighted average price. These shares were sold as part of block trades for multiple security holders of the Issuer at prices ranging from $13.50 to $13.89, inclusive. The Reporting Person undertakes to provide to the Issuer, any securityholder of the Issuer or the staff of the Securities and Exchange Commission, upon request, full information regarding the number of shares sold at each separate price within the range set forth herein with regard to the block trades.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Each RSU represents a right to receive one share of the Issuer's Class A Common Stock at the time of settlement for no consideration.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The RSUs vested as to 1/16th of the total award on April 1, 2023, and 1/16th of the total award will vest quarterly thereafter, subject to the Reporting Person's provision of service to the Issuer on each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10. RSUs do not expire; they either vest or are canceled prior to the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11. The RSUs vested as to 1/16th of the total award on April 1, 2024, and 1/16th of the total award will vest quarterly thereafter, subject to the Reporting Person's provision of service to the Issuer on each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12. The RSUs vested as to 1/16th of the total award on April 1, 2025, and 1/16th of the total award will vest quarterly thereafter, subject to the Reporting Person's provision of service to the Issuer on each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13. The RSUs vested as to 1/16th of the total award on April 1, 2026, and 1/16th of the total award will vest quarterly thereafter, subject to the Reporting Person's provision of service to the Issuer on each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14. The options are fully vested.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15. These securities are held by the Reporting Person, as custodian for the benefit of his children under the California Uniform Transfers to Minors Act.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16. These securities are held by The Goel Family Gift Trust, of which family members and certain other individuals are beneficiaries. The Reporting Person disclaims beneficial ownership of these securities except to the extent of his pecuniary interest therein, if any, and the filing of this report is not an admission that the Reporting Person is the beneficial owner of these securities for purposes of Section 16 or for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17. These securities are held by The Goel Heritage Trust, of which the Reporting Person's children are beneficiaries. The Reporting Person disclaims beneficial ownership of these securities except to the extent of his pecuniary interest therein, if any, and the filing of this report is not an admission that the Reporting Person is the beneficial owner of these securities for purposes of Section 16 or for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18. These securities are held by a trust for the benefit of the Reporting Person's child. The Reporting Person disclaims beneficial ownership of these securities except to the extent of his pecuniary interest therein, if any, and the filing of this report is not an admission that the Reporting Person is the beneficial owner of these securities for purposes of Section 16 or for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19. These securities are held by The Goel Family Trust, of which the Reporting Person and his spouse are beneficiaries.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Andrew Woods,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833511" TargetMode="External"/><Relationship Id="rId5" Type="http://schemas.openxmlformats.org/officeDocument/2006/relationships/hyperlink" Target="http://www.sec.gov/cgi-bin/browse-edgar?action=getcompany&amp;CIK=000142293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checked.jpg"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1725</Words>
  <Characters>8672</Characters>
  <CharactersWithSpaces>10167</CharactersWithSpaces>
  <Paragraphs>330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