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671830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697230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5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2722245</wp:posOffset>
            </wp:positionH>
            <wp:positionV relativeFrom="paragraph">
              <wp:posOffset>99060</wp:posOffset>
            </wp:positionV>
            <wp:extent cx="16973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26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2722245</wp:posOffset>
            </wp:positionH>
            <wp:positionV relativeFrom="paragraph">
              <wp:posOffset>78105</wp:posOffset>
            </wp:positionV>
            <wp:extent cx="16973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17"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highlight w:val="black"/>
        </w:rPr>
        <w:t xml:space="preserve">x </w:t>
      </w: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17"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31" w:lineRule="exact"/>
        <w:rPr>
          <w:sz w:val="24"/>
          <w:szCs w:val="24"/>
          <w:color w:val="auto"/>
        </w:rPr>
      </w:pPr>
    </w:p>
    <w:p>
      <w:pPr>
        <w:ind w:left="55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5"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highlight w:val="black"/>
        </w:rPr>
        <w:t xml:space="preserve">o </w:t>
      </w: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17"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For the transition period from________to________</w:t>
      </w:r>
    </w:p>
    <w:p>
      <w:pPr>
        <w:spacing w:after="0" w:line="11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Commission File Number: 001-39748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2722245</wp:posOffset>
            </wp:positionH>
            <wp:positionV relativeFrom="paragraph">
              <wp:posOffset>105410</wp:posOffset>
            </wp:positionV>
            <wp:extent cx="16973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97355" cy="8890"/>
                    </a:xfrm>
                    <a:prstGeom prst="rect">
                      <a:avLst/>
                    </a:prstGeom>
                    <a:noFill/>
                  </pic:spPr>
                </pic:pic>
              </a:graphicData>
            </a:graphic>
          </wp:anchor>
        </w:drawing>
      </w:r>
    </w:p>
    <w:p>
      <w:pPr>
        <w:spacing w:after="0" w:line="27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PUBMATIC, INC.</w:t>
      </w:r>
    </w:p>
    <w:p>
      <w:pPr>
        <w:spacing w:after="0" w:line="7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2722245</wp:posOffset>
            </wp:positionH>
            <wp:positionV relativeFrom="paragraph">
              <wp:posOffset>68580</wp:posOffset>
            </wp:positionV>
            <wp:extent cx="16973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282" w:lineRule="exact"/>
        <w:rPr>
          <w:sz w:val="24"/>
          <w:szCs w:val="24"/>
          <w:color w:val="auto"/>
        </w:rPr>
      </w:pPr>
    </w:p>
    <w:tbl>
      <w:tblPr>
        <w:tblLayout w:type="fixed"/>
        <w:tblInd w:w="540" w:type="dxa"/>
        <w:tblCellMar>
          <w:top w:w="0" w:type="dxa"/>
          <w:left w:w="0" w:type="dxa"/>
          <w:bottom w:w="0" w:type="dxa"/>
          <w:right w:w="0" w:type="dxa"/>
        </w:tblCellMar>
      </w:tblPr>
      <w:tr>
        <w:trPr>
          <w:trHeight w:val="238"/>
        </w:trPr>
        <w:tc>
          <w:tcPr>
            <w:tcW w:w="1200" w:type="dxa"/>
            <w:vAlign w:val="bottom"/>
          </w:tcPr>
          <w:p>
            <w:pPr>
              <w:spacing w:after="0"/>
              <w:rPr>
                <w:sz w:val="20"/>
                <w:szCs w:val="20"/>
                <w:color w:val="auto"/>
              </w:rPr>
            </w:pPr>
          </w:p>
        </w:tc>
        <w:tc>
          <w:tcPr>
            <w:tcW w:w="3240" w:type="dxa"/>
            <w:vAlign w:val="bottom"/>
            <w:gridSpan w:val="2"/>
          </w:tcPr>
          <w:p>
            <w:pPr>
              <w:jc w:val="center"/>
              <w:ind w:right="995"/>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8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20-5863224</w:t>
            </w:r>
          </w:p>
        </w:tc>
      </w:tr>
      <w:tr>
        <w:trPr>
          <w:trHeight w:val="270"/>
        </w:trPr>
        <w:tc>
          <w:tcPr>
            <w:tcW w:w="444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1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8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(I.R.S. Employer Identification Number)</w:t>
            </w:r>
          </w:p>
        </w:tc>
      </w:tr>
      <w:tr>
        <w:trPr>
          <w:trHeight w:val="324"/>
        </w:trPr>
        <w:tc>
          <w:tcPr>
            <w:tcW w:w="1200" w:type="dxa"/>
            <w:vAlign w:val="bottom"/>
          </w:tcPr>
          <w:p>
            <w:pPr>
              <w:spacing w:after="0"/>
              <w:rPr>
                <w:sz w:val="24"/>
                <w:szCs w:val="24"/>
                <w:color w:val="auto"/>
              </w:rPr>
            </w:pPr>
          </w:p>
        </w:tc>
        <w:tc>
          <w:tcPr>
            <w:tcW w:w="3240" w:type="dxa"/>
            <w:vAlign w:val="bottom"/>
            <w:gridSpan w:val="2"/>
          </w:tcPr>
          <w:p>
            <w:pPr>
              <w:jc w:val="center"/>
              <w:ind w:right="995"/>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34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r>
      <w:tr>
        <w:trPr>
          <w:trHeight w:val="270"/>
        </w:trPr>
        <w:tc>
          <w:tcPr>
            <w:tcW w:w="444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34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324"/>
        </w:trPr>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6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5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70"/>
        </w:trPr>
        <w:tc>
          <w:tcPr>
            <w:tcW w:w="12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7400" w:type="dxa"/>
            <w:vAlign w:val="bottom"/>
            <w:gridSpan w:val="5"/>
          </w:tcPr>
          <w:p>
            <w:pPr>
              <w:jc w:val="center"/>
              <w:ind w:right="223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324"/>
        </w:trPr>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6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5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324"/>
        </w:trPr>
        <w:tc>
          <w:tcPr>
            <w:tcW w:w="1200" w:type="dxa"/>
            <w:vAlign w:val="bottom"/>
          </w:tcPr>
          <w:p>
            <w:pPr>
              <w:spacing w:after="0"/>
              <w:rPr>
                <w:sz w:val="24"/>
                <w:szCs w:val="24"/>
                <w:color w:val="auto"/>
              </w:rPr>
            </w:pPr>
          </w:p>
        </w:tc>
        <w:tc>
          <w:tcPr>
            <w:tcW w:w="8740" w:type="dxa"/>
            <w:vAlign w:val="bottom"/>
            <w:gridSpan w:val="6"/>
          </w:tcPr>
          <w:p>
            <w:pPr>
              <w:jc w:val="center"/>
              <w:ind w:right="870"/>
              <w:spacing w:after="0"/>
              <w:rPr>
                <w:sz w:val="20"/>
                <w:szCs w:val="20"/>
                <w:color w:val="auto"/>
              </w:rPr>
            </w:pPr>
            <w:r>
              <w:rPr>
                <w:rFonts w:ascii="Times New Roman" w:cs="Times New Roman" w:eastAsia="Times New Roman" w:hAnsi="Times New Roman"/>
                <w:sz w:val="18"/>
                <w:szCs w:val="18"/>
                <w:color w:val="auto"/>
                <w:w w:val="99"/>
              </w:rPr>
              <w:t>(Former name, former address and former fiscal year, if changed since last report)</w:t>
            </w:r>
          </w:p>
        </w:tc>
      </w:tr>
      <w:tr>
        <w:trPr>
          <w:trHeight w:val="372"/>
        </w:trPr>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400" w:type="dxa"/>
            <w:vAlign w:val="bottom"/>
            <w:gridSpan w:val="5"/>
          </w:tcPr>
          <w:p>
            <w:pPr>
              <w:jc w:val="center"/>
              <w:ind w:right="221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r>
      <w:tr>
        <w:trPr>
          <w:trHeight w:val="317"/>
        </w:trPr>
        <w:tc>
          <w:tcPr>
            <w:tcW w:w="1200" w:type="dxa"/>
            <w:vAlign w:val="bottom"/>
          </w:tcPr>
          <w:p>
            <w:pPr>
              <w:spacing w:after="0"/>
              <w:rPr>
                <w:sz w:val="24"/>
                <w:szCs w:val="24"/>
                <w:color w:val="auto"/>
              </w:rPr>
            </w:pPr>
          </w:p>
        </w:tc>
        <w:tc>
          <w:tcPr>
            <w:tcW w:w="3240" w:type="dxa"/>
            <w:vAlign w:val="bottom"/>
            <w:gridSpan w:val="2"/>
          </w:tcPr>
          <w:p>
            <w:pPr>
              <w:jc w:val="center"/>
              <w:ind w:right="1815"/>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6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880" w:type="dxa"/>
            <w:vAlign w:val="bottom"/>
            <w:gridSpan w:val="2"/>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2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90"/>
        </w:trPr>
        <w:tc>
          <w:tcPr>
            <w:tcW w:w="4440" w:type="dxa"/>
            <w:vAlign w:val="bottom"/>
            <w:gridSpan w:val="3"/>
          </w:tcPr>
          <w:p>
            <w:pPr>
              <w:jc w:val="center"/>
              <w:ind w:right="615"/>
              <w:spacing w:after="0"/>
              <w:rPr>
                <w:sz w:val="20"/>
                <w:szCs w:val="20"/>
                <w:color w:val="auto"/>
              </w:rPr>
            </w:pPr>
            <w:r>
              <w:rPr>
                <w:rFonts w:ascii="Times New Roman" w:cs="Times New Roman" w:eastAsia="Times New Roman" w:hAnsi="Times New Roman"/>
                <w:sz w:val="18"/>
                <w:szCs w:val="18"/>
                <w:color w:val="auto"/>
                <w:w w:val="99"/>
              </w:rPr>
              <w:t>Class A common stock, $0.0001 par value per share</w:t>
            </w:r>
          </w:p>
        </w:tc>
        <w:tc>
          <w:tcPr>
            <w:tcW w:w="16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PUBM</w:t>
            </w:r>
          </w:p>
        </w:tc>
        <w:tc>
          <w:tcPr>
            <w:tcW w:w="54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184" w:lineRule="exact"/>
        <w:rPr>
          <w:sz w:val="24"/>
          <w:szCs w:val="24"/>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54"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41"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68"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Accelerated filer</w:t>
            </w:r>
          </w:p>
        </w:tc>
        <w:tc>
          <w:tcPr>
            <w:tcW w:w="1400" w:type="dxa"/>
            <w:vAlign w:val="bottom"/>
          </w:tcPr>
          <w:p>
            <w:pPr>
              <w:ind w:left="1240"/>
              <w:spacing w:after="0"/>
              <w:rPr>
                <w:sz w:val="20"/>
                <w:szCs w:val="20"/>
                <w:color w:val="auto"/>
              </w:rPr>
            </w:pPr>
            <w:r>
              <w:rPr>
                <w:rFonts w:ascii="Wingdings" w:cs="Wingdings" w:eastAsia="Wingdings" w:hAnsi="Wingdings"/>
                <w:sz w:val="18"/>
                <w:szCs w:val="18"/>
                <w:b w:val="1"/>
                <w:bCs w:val="1"/>
                <w:color w:val="auto"/>
                <w:w w:val="86"/>
              </w:rPr>
              <w:t>o</w:t>
            </w:r>
          </w:p>
        </w:tc>
      </w:tr>
      <w:tr>
        <w:trPr>
          <w:trHeight w:val="296"/>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400" w:type="dxa"/>
            <w:vAlign w:val="bottom"/>
          </w:tcPr>
          <w:p>
            <w:pPr>
              <w:ind w:left="240"/>
              <w:spacing w:after="0"/>
              <w:rPr>
                <w:sz w:val="20"/>
                <w:szCs w:val="20"/>
                <w:color w:val="auto"/>
              </w:rPr>
            </w:pPr>
            <w:r>
              <w:rPr>
                <w:rFonts w:ascii="Wingdings" w:cs="Wingdings" w:eastAsia="Wingdings" w:hAnsi="Wingdings"/>
                <w:sz w:val="18"/>
                <w:szCs w:val="18"/>
                <w:b w:val="1"/>
                <w:bCs w:val="1"/>
                <w:color w:val="auto"/>
              </w:rPr>
              <w:t>o</w:t>
            </w:r>
          </w:p>
        </w:tc>
        <w:tc>
          <w:tcPr>
            <w:tcW w:w="52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400" w:type="dxa"/>
            <w:vAlign w:val="bottom"/>
          </w:tcPr>
          <w:p>
            <w:pPr>
              <w:ind w:left="1240"/>
              <w:spacing w:after="0"/>
              <w:rPr>
                <w:sz w:val="20"/>
                <w:szCs w:val="20"/>
                <w:color w:val="auto"/>
              </w:rPr>
            </w:pPr>
            <w:r>
              <w:rPr>
                <w:rFonts w:ascii="Wingdings" w:cs="Wingdings" w:eastAsia="Wingdings" w:hAnsi="Wingdings"/>
                <w:sz w:val="18"/>
                <w:szCs w:val="18"/>
                <w:b w:val="1"/>
                <w:bCs w:val="1"/>
                <w:color w:val="auto"/>
                <w:w w:val="86"/>
              </w:rPr>
              <w:t>o</w:t>
            </w:r>
          </w:p>
        </w:tc>
      </w:tr>
      <w:tr>
        <w:trPr>
          <w:trHeight w:val="324"/>
        </w:trPr>
        <w:tc>
          <w:tcPr>
            <w:tcW w:w="18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52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400" w:type="dxa"/>
            <w:vAlign w:val="bottom"/>
          </w:tcPr>
          <w:p>
            <w:pPr>
              <w:ind w:left="1240"/>
              <w:spacing w:after="0"/>
              <w:rPr>
                <w:sz w:val="20"/>
                <w:szCs w:val="20"/>
                <w:color w:val="auto"/>
              </w:rPr>
            </w:pPr>
            <w:r>
              <w:rPr>
                <w:rFonts w:ascii="Wingdings" w:cs="Wingdings" w:eastAsia="Wingdings" w:hAnsi="Wingdings"/>
                <w:sz w:val="18"/>
                <w:szCs w:val="18"/>
                <w:b w:val="1"/>
                <w:bCs w:val="1"/>
                <w:color w:val="auto"/>
                <w:w w:val="86"/>
              </w:rPr>
              <w:t>o</w:t>
            </w:r>
          </w:p>
        </w:tc>
      </w:tr>
    </w:tbl>
    <w:p>
      <w:pPr>
        <w:spacing w:after="0" w:line="184" w:lineRule="exact"/>
        <w:rPr>
          <w:sz w:val="24"/>
          <w:szCs w:val="24"/>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4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90" w:lineRule="exact"/>
        <w:rPr>
          <w:sz w:val="24"/>
          <w:szCs w:val="24"/>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As of August 1, 2024, the registrant had 41,220,547 shares of Class A common stock outstanding and 8,363,564 shares of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641350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1222" w:right="4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6554470</wp:posOffset>
            </wp:positionH>
            <wp:positionV relativeFrom="paragraph">
              <wp:posOffset>36830</wp:posOffset>
            </wp:positionV>
            <wp:extent cx="5486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ectPr>
          <w:pgSz w:w="11900" w:h="16838" w:orient="portrait"/>
          <w:cols w:equalWidth="0" w:num="1">
            <w:col w:w="10940"/>
          </w:cols>
          <w:pgMar w:left="320" w:top="229" w:right="6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7"/>
          <w:szCs w:val="17"/>
          <w:color w:val="auto"/>
        </w:rPr>
        <w:t>Item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Item 2.</w:t>
      </w:r>
    </w:p>
    <w:p>
      <w:pPr>
        <w:spacing w:after="0" w:line="17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Item 3.</w:t>
      </w:r>
    </w:p>
    <w:p>
      <w:pPr>
        <w:spacing w:after="0" w:line="17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Item 4.</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Item 1.</w:t>
      </w:r>
    </w:p>
    <w:p>
      <w:pPr>
        <w:spacing w:after="0" w:line="17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Item 1A.</w:t>
      </w:r>
    </w:p>
    <w:p>
      <w:pPr>
        <w:spacing w:after="0" w:line="18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Item 2.</w:t>
      </w:r>
    </w:p>
    <w:p>
      <w:pPr>
        <w:spacing w:after="0" w:line="17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Item 3.</w:t>
      </w:r>
    </w:p>
    <w:p>
      <w:pPr>
        <w:spacing w:after="0" w:line="17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Item 4.</w:t>
      </w:r>
    </w:p>
    <w:p>
      <w:pPr>
        <w:spacing w:after="0" w:line="17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Item 5.</w:t>
      </w:r>
    </w:p>
    <w:p>
      <w:pPr>
        <w:spacing w:after="0" w:line="17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Item 6.</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60" w:type="dxa"/>
            <w:vAlign w:val="bottom"/>
            <w:gridSpan w:val="13"/>
          </w:tcPr>
          <w:p>
            <w:pPr>
              <w:jc w:val="center"/>
              <w:ind w:right="340"/>
              <w:spacing w:after="0"/>
              <w:rPr>
                <w:sz w:val="20"/>
                <w:szCs w:val="20"/>
                <w:color w:val="auto"/>
              </w:rPr>
            </w:pPr>
            <w:r>
              <w:rPr>
                <w:rFonts w:ascii="Times New Roman" w:cs="Times New Roman" w:eastAsia="Times New Roman" w:hAnsi="Times New Roman"/>
                <w:sz w:val="18"/>
                <w:szCs w:val="18"/>
                <w:b w:val="1"/>
                <w:bCs w:val="1"/>
                <w:color w:val="0000FF"/>
                <w:w w:val="98"/>
              </w:rPr>
              <w:t>PART I - FINANCIAL INFORMATION</w:t>
            </w:r>
          </w:p>
        </w:tc>
        <w:tc>
          <w:tcPr>
            <w:tcW w:w="3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4"/>
        </w:trPr>
        <w:tc>
          <w:tcPr>
            <w:tcW w:w="454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b w:val="1"/>
                <w:bCs w:val="1"/>
                <w:color w:val="0000FF"/>
                <w:w w:val="99"/>
              </w:rPr>
              <w:t>Condensed Consolidated Financial Statements (Unaudited)</w:t>
            </w:r>
          </w:p>
        </w:tc>
        <w:tc>
          <w:tcPr>
            <w:tcW w:w="1920" w:type="dxa"/>
            <w:vAlign w:val="bottom"/>
            <w:gridSpan w:val="5"/>
          </w:tcPr>
          <w:p>
            <w:pPr>
              <w:spacing w:after="0"/>
              <w:rPr>
                <w:sz w:val="24"/>
                <w:szCs w:val="24"/>
                <w:color w:val="auto"/>
              </w:rPr>
            </w:pPr>
          </w:p>
        </w:tc>
        <w:tc>
          <w:tcPr>
            <w:tcW w:w="3040" w:type="dxa"/>
            <w:vAlign w:val="bottom"/>
            <w:gridSpan w:val="2"/>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40" w:type="dxa"/>
            <w:vAlign w:val="bottom"/>
          </w:tcPr>
          <w:p>
            <w:pPr>
              <w:spacing w:after="0"/>
              <w:rPr>
                <w:sz w:val="24"/>
                <w:szCs w:val="24"/>
                <w:color w:val="auto"/>
              </w:rPr>
            </w:pPr>
          </w:p>
        </w:tc>
      </w:tr>
      <w:tr>
        <w:trPr>
          <w:trHeight w:val="358"/>
        </w:trPr>
        <w:tc>
          <w:tcPr>
            <w:tcW w:w="320" w:type="dxa"/>
            <w:vAlign w:val="bottom"/>
          </w:tcPr>
          <w:p>
            <w:pPr>
              <w:spacing w:after="0"/>
              <w:rPr>
                <w:sz w:val="24"/>
                <w:szCs w:val="24"/>
                <w:color w:val="auto"/>
              </w:rPr>
            </w:pPr>
          </w:p>
        </w:tc>
        <w:tc>
          <w:tcPr>
            <w:tcW w:w="29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w:t>
            </w:r>
          </w:p>
        </w:tc>
        <w:tc>
          <w:tcPr>
            <w:tcW w:w="3200" w:type="dxa"/>
            <w:vAlign w:val="bottom"/>
            <w:gridSpan w:val="11"/>
          </w:tcPr>
          <w:p>
            <w:pPr>
              <w:spacing w:after="0"/>
              <w:rPr>
                <w:sz w:val="24"/>
                <w:szCs w:val="24"/>
                <w:color w:val="auto"/>
              </w:rPr>
            </w:pPr>
          </w:p>
        </w:tc>
        <w:tc>
          <w:tcPr>
            <w:tcW w:w="3040" w:type="dxa"/>
            <w:vAlign w:val="bottom"/>
            <w:gridSpan w:val="2"/>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40" w:type="dxa"/>
            <w:vAlign w:val="bottom"/>
          </w:tcPr>
          <w:p>
            <w:pPr>
              <w:spacing w:after="0"/>
              <w:rPr>
                <w:sz w:val="24"/>
                <w:szCs w:val="24"/>
                <w:color w:val="auto"/>
              </w:rPr>
            </w:pPr>
          </w:p>
        </w:tc>
      </w:tr>
      <w:tr>
        <w:trPr>
          <w:trHeight w:val="358"/>
        </w:trPr>
        <w:tc>
          <w:tcPr>
            <w:tcW w:w="320" w:type="dxa"/>
            <w:vAlign w:val="bottom"/>
          </w:tcPr>
          <w:p>
            <w:pPr>
              <w:spacing w:after="0"/>
              <w:rPr>
                <w:sz w:val="24"/>
                <w:szCs w:val="24"/>
                <w:color w:val="auto"/>
              </w:rPr>
            </w:pPr>
          </w:p>
        </w:tc>
        <w:tc>
          <w:tcPr>
            <w:tcW w:w="61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3180" w:type="dxa"/>
            <w:vAlign w:val="bottom"/>
            <w:gridSpan w:val="4"/>
          </w:tcPr>
          <w:p>
            <w:pPr>
              <w:jc w:val="center"/>
              <w:ind w:left="2910"/>
              <w:spacing w:after="0"/>
              <w:rPr>
                <w:sz w:val="20"/>
                <w:szCs w:val="20"/>
                <w:color w:val="auto"/>
              </w:rPr>
            </w:pPr>
            <w:r>
              <w:rPr>
                <w:rFonts w:ascii="Times New Roman" w:cs="Times New Roman" w:eastAsia="Times New Roman" w:hAnsi="Times New Roman"/>
                <w:sz w:val="18"/>
                <w:szCs w:val="18"/>
                <w:color w:val="0000FF"/>
              </w:rPr>
              <w:t>2</w:t>
            </w:r>
          </w:p>
        </w:tc>
      </w:tr>
      <w:tr>
        <w:trPr>
          <w:trHeight w:val="20"/>
        </w:trPr>
        <w:tc>
          <w:tcPr>
            <w:tcW w:w="3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8"/>
        </w:trPr>
        <w:tc>
          <w:tcPr>
            <w:tcW w:w="320" w:type="dxa"/>
            <w:vAlign w:val="bottom"/>
          </w:tcPr>
          <w:p>
            <w:pPr>
              <w:spacing w:after="0"/>
              <w:rPr>
                <w:sz w:val="24"/>
                <w:szCs w:val="24"/>
                <w:color w:val="auto"/>
              </w:rPr>
            </w:pPr>
          </w:p>
        </w:tc>
        <w:tc>
          <w:tcPr>
            <w:tcW w:w="61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Loss</w:t>
            </w:r>
          </w:p>
        </w:tc>
        <w:tc>
          <w:tcPr>
            <w:tcW w:w="3180" w:type="dxa"/>
            <w:vAlign w:val="bottom"/>
            <w:gridSpan w:val="4"/>
          </w:tcPr>
          <w:p>
            <w:pPr>
              <w:jc w:val="center"/>
              <w:ind w:left="2910"/>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3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8"/>
        </w:trPr>
        <w:tc>
          <w:tcPr>
            <w:tcW w:w="320" w:type="dxa"/>
            <w:vAlign w:val="bottom"/>
          </w:tcPr>
          <w:p>
            <w:pPr>
              <w:spacing w:after="0"/>
              <w:rPr>
                <w:sz w:val="24"/>
                <w:szCs w:val="24"/>
                <w:color w:val="auto"/>
              </w:rPr>
            </w:pPr>
          </w:p>
        </w:tc>
        <w:tc>
          <w:tcPr>
            <w:tcW w:w="440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w:t>
            </w:r>
          </w:p>
        </w:tc>
        <w:tc>
          <w:tcPr>
            <w:tcW w:w="1740" w:type="dxa"/>
            <w:vAlign w:val="bottom"/>
            <w:gridSpan w:val="3"/>
          </w:tcPr>
          <w:p>
            <w:pPr>
              <w:spacing w:after="0"/>
              <w:rPr>
                <w:sz w:val="24"/>
                <w:szCs w:val="24"/>
                <w:color w:val="auto"/>
              </w:rPr>
            </w:pPr>
          </w:p>
        </w:tc>
        <w:tc>
          <w:tcPr>
            <w:tcW w:w="3040" w:type="dxa"/>
            <w:vAlign w:val="bottom"/>
            <w:gridSpan w:val="2"/>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4</w:t>
            </w:r>
          </w:p>
        </w:tc>
        <w:tc>
          <w:tcPr>
            <w:tcW w:w="40" w:type="dxa"/>
            <w:vAlign w:val="bottom"/>
          </w:tcPr>
          <w:p>
            <w:pPr>
              <w:spacing w:after="0"/>
              <w:rPr>
                <w:sz w:val="24"/>
                <w:szCs w:val="24"/>
                <w:color w:val="auto"/>
              </w:rPr>
            </w:pPr>
          </w:p>
        </w:tc>
      </w:tr>
      <w:tr>
        <w:trPr>
          <w:trHeight w:val="358"/>
        </w:trPr>
        <w:tc>
          <w:tcPr>
            <w:tcW w:w="320" w:type="dxa"/>
            <w:vAlign w:val="bottom"/>
          </w:tcPr>
          <w:p>
            <w:pPr>
              <w:spacing w:after="0"/>
              <w:rPr>
                <w:sz w:val="24"/>
                <w:szCs w:val="24"/>
                <w:color w:val="auto"/>
              </w:rPr>
            </w:pPr>
          </w:p>
        </w:tc>
        <w:tc>
          <w:tcPr>
            <w:tcW w:w="37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w:t>
            </w:r>
          </w:p>
        </w:tc>
        <w:tc>
          <w:tcPr>
            <w:tcW w:w="2420" w:type="dxa"/>
            <w:vAlign w:val="bottom"/>
            <w:gridSpan w:val="9"/>
          </w:tcPr>
          <w:p>
            <w:pPr>
              <w:spacing w:after="0"/>
              <w:rPr>
                <w:sz w:val="24"/>
                <w:szCs w:val="24"/>
                <w:color w:val="auto"/>
              </w:rPr>
            </w:pPr>
          </w:p>
        </w:tc>
        <w:tc>
          <w:tcPr>
            <w:tcW w:w="3040" w:type="dxa"/>
            <w:vAlign w:val="bottom"/>
            <w:gridSpan w:val="2"/>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6</w:t>
            </w:r>
          </w:p>
        </w:tc>
        <w:tc>
          <w:tcPr>
            <w:tcW w:w="40" w:type="dxa"/>
            <w:vAlign w:val="bottom"/>
          </w:tcPr>
          <w:p>
            <w:pPr>
              <w:spacing w:after="0"/>
              <w:rPr>
                <w:sz w:val="24"/>
                <w:szCs w:val="24"/>
                <w:color w:val="auto"/>
              </w:rPr>
            </w:pPr>
          </w:p>
        </w:tc>
      </w:tr>
      <w:tr>
        <w:trPr>
          <w:trHeight w:val="358"/>
        </w:trPr>
        <w:tc>
          <w:tcPr>
            <w:tcW w:w="320" w:type="dxa"/>
            <w:vAlign w:val="bottom"/>
          </w:tcPr>
          <w:p>
            <w:pPr>
              <w:spacing w:after="0"/>
              <w:rPr>
                <w:sz w:val="24"/>
                <w:szCs w:val="24"/>
                <w:color w:val="auto"/>
              </w:rPr>
            </w:pPr>
          </w:p>
        </w:tc>
        <w:tc>
          <w:tcPr>
            <w:tcW w:w="40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2140" w:type="dxa"/>
            <w:vAlign w:val="bottom"/>
            <w:gridSpan w:val="8"/>
          </w:tcPr>
          <w:p>
            <w:pPr>
              <w:spacing w:after="0"/>
              <w:rPr>
                <w:sz w:val="24"/>
                <w:szCs w:val="24"/>
                <w:color w:val="auto"/>
              </w:rPr>
            </w:pPr>
          </w:p>
        </w:tc>
        <w:tc>
          <w:tcPr>
            <w:tcW w:w="3040" w:type="dxa"/>
            <w:vAlign w:val="bottom"/>
            <w:gridSpan w:val="2"/>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7</w:t>
            </w:r>
          </w:p>
        </w:tc>
        <w:tc>
          <w:tcPr>
            <w:tcW w:w="40" w:type="dxa"/>
            <w:vAlign w:val="bottom"/>
          </w:tcPr>
          <w:p>
            <w:pPr>
              <w:spacing w:after="0"/>
              <w:rPr>
                <w:sz w:val="24"/>
                <w:szCs w:val="24"/>
                <w:color w:val="auto"/>
              </w:rPr>
            </w:pPr>
          </w:p>
        </w:tc>
      </w:tr>
      <w:tr>
        <w:trPr>
          <w:trHeight w:val="358"/>
        </w:trPr>
        <w:tc>
          <w:tcPr>
            <w:tcW w:w="646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0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19</w:t>
            </w:r>
          </w:p>
        </w:tc>
      </w:tr>
      <w:tr>
        <w:trPr>
          <w:trHeight w:val="358"/>
        </w:trPr>
        <w:tc>
          <w:tcPr>
            <w:tcW w:w="43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gridSpan w:val="6"/>
          </w:tcPr>
          <w:p>
            <w:pPr>
              <w:spacing w:after="0"/>
              <w:rPr>
                <w:sz w:val="24"/>
                <w:szCs w:val="24"/>
                <w:color w:val="auto"/>
              </w:rPr>
            </w:pPr>
          </w:p>
        </w:tc>
        <w:tc>
          <w:tcPr>
            <w:tcW w:w="30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32</w:t>
            </w:r>
          </w:p>
        </w:tc>
      </w:tr>
      <w:tr>
        <w:trPr>
          <w:trHeight w:val="358"/>
        </w:trPr>
        <w:tc>
          <w:tcPr>
            <w:tcW w:w="64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3180" w:type="dxa"/>
            <w:vAlign w:val="bottom"/>
            <w:gridSpan w:val="4"/>
          </w:tcPr>
          <w:p>
            <w:pPr>
              <w:jc w:val="center"/>
              <w:ind w:left="2910"/>
              <w:spacing w:after="0"/>
              <w:rPr>
                <w:sz w:val="20"/>
                <w:szCs w:val="20"/>
                <w:color w:val="auto"/>
              </w:rPr>
            </w:pPr>
            <w:r>
              <w:rPr>
                <w:rFonts w:ascii="Times New Roman" w:cs="Times New Roman" w:eastAsia="Times New Roman" w:hAnsi="Times New Roman"/>
                <w:sz w:val="18"/>
                <w:szCs w:val="18"/>
                <w:color w:val="0000FF"/>
                <w:w w:val="99"/>
              </w:rPr>
              <w:t>32</w:t>
            </w:r>
          </w:p>
        </w:tc>
      </w:tr>
      <w:tr>
        <w:trPr>
          <w:trHeight w:val="601"/>
        </w:trPr>
        <w:tc>
          <w:tcPr>
            <w:tcW w:w="3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40" w:type="dxa"/>
            <w:vAlign w:val="bottom"/>
            <w:tcBorders>
              <w:bottom w:val="single" w:sz="8" w:color="0000FF"/>
            </w:tcBorders>
            <w:gridSpan w:val="10"/>
          </w:tcPr>
          <w:p>
            <w:pPr>
              <w:jc w:val="center"/>
              <w:spacing w:after="0"/>
              <w:rPr>
                <w:sz w:val="20"/>
                <w:szCs w:val="20"/>
                <w:color w:val="auto"/>
              </w:rPr>
            </w:pPr>
            <w:r>
              <w:rPr>
                <w:rFonts w:ascii="Times New Roman" w:cs="Times New Roman" w:eastAsia="Times New Roman" w:hAnsi="Times New Roman"/>
                <w:sz w:val="18"/>
                <w:szCs w:val="18"/>
                <w:b w:val="1"/>
                <w:bCs w:val="1"/>
                <w:color w:val="0000FF"/>
                <w:w w:val="99"/>
              </w:rPr>
              <w:t>PART II - OTHER INFORMATION</w:t>
            </w:r>
          </w:p>
        </w:tc>
        <w:tc>
          <w:tcPr>
            <w:tcW w:w="480" w:type="dxa"/>
            <w:vAlign w:val="bottom"/>
            <w:gridSpan w:val="2"/>
          </w:tcPr>
          <w:p>
            <w:pPr>
              <w:spacing w:after="0"/>
              <w:rPr>
                <w:sz w:val="24"/>
                <w:szCs w:val="24"/>
                <w:color w:val="auto"/>
              </w:rPr>
            </w:pPr>
          </w:p>
        </w:tc>
        <w:tc>
          <w:tcPr>
            <w:tcW w:w="300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r>
      <w:tr>
        <w:trPr>
          <w:trHeight w:val="345"/>
        </w:trPr>
        <w:tc>
          <w:tcPr>
            <w:tcW w:w="13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5120" w:type="dxa"/>
            <w:vAlign w:val="bottom"/>
            <w:gridSpan w:val="16"/>
          </w:tcPr>
          <w:p>
            <w:pPr>
              <w:spacing w:after="0"/>
              <w:rPr>
                <w:sz w:val="24"/>
                <w:szCs w:val="24"/>
                <w:color w:val="auto"/>
              </w:rPr>
            </w:pPr>
          </w:p>
        </w:tc>
        <w:tc>
          <w:tcPr>
            <w:tcW w:w="30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33</w:t>
            </w:r>
          </w:p>
        </w:tc>
      </w:tr>
      <w:tr>
        <w:trPr>
          <w:trHeight w:val="358"/>
        </w:trPr>
        <w:tc>
          <w:tcPr>
            <w:tcW w:w="64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3180" w:type="dxa"/>
            <w:vAlign w:val="bottom"/>
            <w:gridSpan w:val="4"/>
          </w:tcPr>
          <w:p>
            <w:pPr>
              <w:jc w:val="center"/>
              <w:ind w:left="2910"/>
              <w:spacing w:after="0"/>
              <w:rPr>
                <w:sz w:val="20"/>
                <w:szCs w:val="20"/>
                <w:color w:val="auto"/>
              </w:rPr>
            </w:pPr>
            <w:r>
              <w:rPr>
                <w:rFonts w:ascii="Times New Roman" w:cs="Times New Roman" w:eastAsia="Times New Roman" w:hAnsi="Times New Roman"/>
                <w:sz w:val="18"/>
                <w:szCs w:val="18"/>
                <w:color w:val="0000FF"/>
                <w:w w:val="99"/>
              </w:rPr>
              <w:t>33</w:t>
            </w: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2120" w:type="dxa"/>
            <w:vAlign w:val="bottom"/>
            <w:gridSpan w:val="7"/>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r>
      <w:tr>
        <w:trPr>
          <w:trHeight w:val="358"/>
        </w:trPr>
        <w:tc>
          <w:tcPr>
            <w:tcW w:w="64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3180" w:type="dxa"/>
            <w:vAlign w:val="bottom"/>
            <w:gridSpan w:val="4"/>
          </w:tcPr>
          <w:p>
            <w:pPr>
              <w:jc w:val="center"/>
              <w:ind w:left="2910"/>
              <w:spacing w:after="0"/>
              <w:rPr>
                <w:sz w:val="20"/>
                <w:szCs w:val="20"/>
                <w:color w:val="auto"/>
              </w:rPr>
            </w:pPr>
            <w:r>
              <w:rPr>
                <w:rFonts w:ascii="Times New Roman" w:cs="Times New Roman" w:eastAsia="Times New Roman" w:hAnsi="Times New Roman"/>
                <w:sz w:val="18"/>
                <w:szCs w:val="18"/>
                <w:color w:val="0000FF"/>
                <w:w w:val="99"/>
              </w:rPr>
              <w:t>36</w:t>
            </w:r>
          </w:p>
        </w:tc>
      </w:tr>
      <w:tr>
        <w:trPr>
          <w:trHeight w:val="358"/>
        </w:trPr>
        <w:tc>
          <w:tcPr>
            <w:tcW w:w="434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2120" w:type="dxa"/>
            <w:vAlign w:val="bottom"/>
            <w:gridSpan w:val="7"/>
          </w:tcPr>
          <w:p>
            <w:pPr>
              <w:spacing w:after="0"/>
              <w:rPr>
                <w:sz w:val="24"/>
                <w:szCs w:val="24"/>
                <w:color w:val="auto"/>
              </w:rPr>
            </w:pPr>
          </w:p>
        </w:tc>
        <w:tc>
          <w:tcPr>
            <w:tcW w:w="3000" w:type="dxa"/>
            <w:vAlign w:val="bottom"/>
          </w:tcPr>
          <w:p>
            <w:pPr>
              <w:spacing w:after="0"/>
              <w:rPr>
                <w:sz w:val="24"/>
                <w:szCs w:val="24"/>
                <w:color w:val="auto"/>
              </w:rPr>
            </w:pPr>
          </w:p>
        </w:tc>
        <w:tc>
          <w:tcPr>
            <w:tcW w:w="180" w:type="dxa"/>
            <w:vAlign w:val="bottom"/>
            <w:tcBorders>
              <w:top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36</w:t>
            </w:r>
          </w:p>
        </w:tc>
      </w:tr>
      <w:tr>
        <w:trPr>
          <w:trHeight w:val="358"/>
        </w:trPr>
        <w:tc>
          <w:tcPr>
            <w:tcW w:w="232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4140" w:type="dxa"/>
            <w:vAlign w:val="bottom"/>
            <w:gridSpan w:val="14"/>
          </w:tcPr>
          <w:p>
            <w:pPr>
              <w:spacing w:after="0"/>
              <w:rPr>
                <w:sz w:val="24"/>
                <w:szCs w:val="24"/>
                <w:color w:val="auto"/>
              </w:rPr>
            </w:pPr>
          </w:p>
        </w:tc>
        <w:tc>
          <w:tcPr>
            <w:tcW w:w="3000" w:type="dxa"/>
            <w:vAlign w:val="bottom"/>
          </w:tcPr>
          <w:p>
            <w:pPr>
              <w:spacing w:after="0"/>
              <w:rPr>
                <w:sz w:val="24"/>
                <w:szCs w:val="24"/>
                <w:color w:val="auto"/>
              </w:rPr>
            </w:pPr>
          </w:p>
        </w:tc>
        <w:tc>
          <w:tcPr>
            <w:tcW w:w="180" w:type="dxa"/>
            <w:vAlign w:val="bottom"/>
            <w:tcBorders>
              <w:top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36</w:t>
            </w:r>
          </w:p>
        </w:tc>
      </w:tr>
      <w:tr>
        <w:trPr>
          <w:trHeight w:val="358"/>
        </w:trPr>
        <w:tc>
          <w:tcPr>
            <w:tcW w:w="13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2"/>
          </w:tcPr>
          <w:p>
            <w:pPr>
              <w:spacing w:after="0"/>
              <w:rPr>
                <w:sz w:val="24"/>
                <w:szCs w:val="24"/>
                <w:color w:val="auto"/>
              </w:rPr>
            </w:pPr>
          </w:p>
        </w:tc>
        <w:tc>
          <w:tcPr>
            <w:tcW w:w="4700" w:type="dxa"/>
            <w:vAlign w:val="bottom"/>
            <w:gridSpan w:val="15"/>
          </w:tcPr>
          <w:p>
            <w:pPr>
              <w:spacing w:after="0"/>
              <w:rPr>
                <w:sz w:val="24"/>
                <w:szCs w:val="24"/>
                <w:color w:val="auto"/>
              </w:rPr>
            </w:pPr>
          </w:p>
        </w:tc>
        <w:tc>
          <w:tcPr>
            <w:tcW w:w="3000" w:type="dxa"/>
            <w:vAlign w:val="bottom"/>
          </w:tcPr>
          <w:p>
            <w:pPr>
              <w:spacing w:after="0"/>
              <w:rPr>
                <w:sz w:val="24"/>
                <w:szCs w:val="24"/>
                <w:color w:val="auto"/>
              </w:rPr>
            </w:pPr>
          </w:p>
        </w:tc>
        <w:tc>
          <w:tcPr>
            <w:tcW w:w="180" w:type="dxa"/>
            <w:vAlign w:val="bottom"/>
            <w:tcBorders>
              <w:top w:val="single" w:sz="8" w:color="0000FF"/>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37</w:t>
            </w:r>
          </w:p>
        </w:tc>
      </w:tr>
      <w:tr>
        <w:trPr>
          <w:trHeight w:val="358"/>
        </w:trPr>
        <w:tc>
          <w:tcPr>
            <w:tcW w:w="64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Exhibits</w:t>
            </w:r>
          </w:p>
        </w:tc>
        <w:tc>
          <w:tcPr>
            <w:tcW w:w="3180" w:type="dxa"/>
            <w:vAlign w:val="bottom"/>
            <w:gridSpan w:val="4"/>
          </w:tcPr>
          <w:p>
            <w:pPr>
              <w:jc w:val="center"/>
              <w:ind w:left="2910"/>
              <w:spacing w:after="0"/>
              <w:rPr>
                <w:sz w:val="20"/>
                <w:szCs w:val="20"/>
                <w:color w:val="auto"/>
              </w:rPr>
            </w:pPr>
            <w:r>
              <w:rPr>
                <w:rFonts w:ascii="Times New Roman" w:cs="Times New Roman" w:eastAsia="Times New Roman" w:hAnsi="Times New Roman"/>
                <w:sz w:val="18"/>
                <w:szCs w:val="18"/>
                <w:color w:val="0000FF"/>
                <w:w w:val="99"/>
              </w:rPr>
              <w:t>38</w:t>
            </w: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700" w:type="dxa"/>
            <w:vAlign w:val="bottom"/>
            <w:gridSpan w:val="19"/>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r>
      <w:tr>
        <w:trPr>
          <w:trHeight w:val="358"/>
        </w:trPr>
        <w:tc>
          <w:tcPr>
            <w:tcW w:w="7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5700" w:type="dxa"/>
            <w:vAlign w:val="bottom"/>
            <w:gridSpan w:val="19"/>
          </w:tcPr>
          <w:p>
            <w:pPr>
              <w:spacing w:after="0"/>
              <w:rPr>
                <w:sz w:val="24"/>
                <w:szCs w:val="24"/>
                <w:color w:val="auto"/>
              </w:rPr>
            </w:pPr>
          </w:p>
        </w:tc>
        <w:tc>
          <w:tcPr>
            <w:tcW w:w="30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561975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980" w:space="220"/>
            <w:col w:w="9740"/>
          </w:cols>
          <w:pgMar w:left="320" w:top="229" w:right="6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2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b w:val="1"/>
          <w:bCs w:val="1"/>
          <w:color w:val="auto"/>
        </w:rPr>
        <w:t>PUBMATIC, INC. AND SUBSIDIARIES</w:t>
      </w:r>
    </w:p>
    <w:p>
      <w:pPr>
        <w:spacing w:after="0" w:line="32"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par values)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5"/>
                <w:szCs w:val="15"/>
                <w:color w:val="auto"/>
              </w:rPr>
            </w:pPr>
          </w:p>
        </w:tc>
        <w:tc>
          <w:tcPr>
            <w:tcW w:w="126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1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(unaudited)</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7"/>
        </w:trPr>
        <w:tc>
          <w:tcPr>
            <w:tcW w:w="8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78,509</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96,835</w:t>
            </w: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375,468</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11,143</w:t>
            </w:r>
          </w:p>
        </w:tc>
      </w:tr>
      <w:tr>
        <w:trPr>
          <w:trHeight w:val="27"/>
        </w:trPr>
        <w:tc>
          <w:tcPr>
            <w:tcW w:w="8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531,971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561,955</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equipment and software, net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60,729</w:t>
            </w: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21,102</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Acquisition-related intangible assets, net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5,864</w:t>
            </w: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29,577</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13,880</w:t>
            </w: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non-current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w:t>
            </w: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673,103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695,243</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1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340,793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347,673</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25,684</w:t>
            </w: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6,236</w:t>
            </w:r>
          </w:p>
        </w:tc>
      </w:tr>
      <w:tr>
        <w:trPr>
          <w:trHeight w:val="237"/>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370,123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379,593</w:t>
            </w: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15,607</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3,844</w:t>
            </w:r>
          </w:p>
        </w:tc>
      </w:tr>
      <w:tr>
        <w:trPr>
          <w:trHeight w:val="27"/>
        </w:trPr>
        <w:tc>
          <w:tcPr>
            <w:tcW w:w="8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390,374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399,044</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33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Preferred stock, $0.0001 par value per share, 10,000 shares authorized as of June 30, 2024 and December 31,</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3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 No shares issued and outstanding as of June 30, 2024 and December 31, 2023</w:t>
            </w:r>
          </w:p>
        </w:tc>
        <w:tc>
          <w:tcPr>
            <w:tcW w:w="26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33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$0.0001 par value per share; 1,000,000 Class A shares authorized as of June 30, 2024 and</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2023; 47,032 shares issued and 41,214 shares outstanding as of June 30, 2024; 45,542 shares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issued and 41,502 shares outstanding as of December 31, 2023; 1,000,000 Class B shares authorized as of</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2024 and December 31, 2023; 11,512 shares issued and 8,372 shares outstanding as of June 30, 2024;</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41"/>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11,884 shares issued and 8,744 shares outstanding as of December 31, 2023</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Treasury stock, at cost; 8,958 and 7,180 shares as of June 30, 2024 and December 31, 2023, respectively</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(71,103)</w:t>
            </w: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230,419</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Retained earnings</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136,398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136,881</w:t>
            </w:r>
          </w:p>
        </w:tc>
      </w:tr>
      <w:tr>
        <w:trPr>
          <w:trHeight w:val="23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282,729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296,199</w:t>
            </w:r>
          </w:p>
        </w:tc>
      </w:tr>
      <w:tr>
        <w:trPr>
          <w:trHeight w:val="27"/>
        </w:trPr>
        <w:tc>
          <w:tcPr>
            <w:tcW w:w="8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673,103</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695,243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229" w:right="339" w:bottom="1440" w:gutter="0" w:footer="0" w:header="0"/>
        </w:sectPr>
      </w:pP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b w:val="1"/>
          <w:bCs w:val="1"/>
          <w:color w:val="auto"/>
        </w:rPr>
        <w:t>PUBMATIC, INC. AND SUBSIDIARIES</w:t>
      </w:r>
    </w:p>
    <w:p>
      <w:pPr>
        <w:spacing w:after="0" w:line="32"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OPERATIONS</w:t>
      </w:r>
    </w:p>
    <w:p>
      <w:pPr>
        <w:spacing w:after="0" w:line="3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6"/>
          <w:szCs w:val="16"/>
          <w:b w:val="1"/>
          <w:bCs w:val="1"/>
          <w:color w:val="auto"/>
        </w:rPr>
        <w:t>(In thousands, except per share data)</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24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37"/>
        </w:trPr>
        <w:tc>
          <w:tcPr>
            <w:tcW w:w="504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0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504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67,267</w:t>
            </w: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63,330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118,737</w:t>
            </w:r>
          </w:p>
        </w:tc>
        <w:tc>
          <w:tcPr>
            <w:tcW w:w="0" w:type="dxa"/>
            <w:vAlign w:val="bottom"/>
          </w:tcPr>
          <w:p>
            <w:pPr>
              <w:spacing w:after="0"/>
              <w:rPr>
                <w:sz w:val="1"/>
                <w:szCs w:val="1"/>
                <w:color w:val="auto"/>
              </w:rPr>
            </w:pP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25,160</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25,067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48,930</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42,107</w:t>
            </w: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38,263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69,807</w:t>
            </w:r>
          </w:p>
        </w:tc>
        <w:tc>
          <w:tcPr>
            <w:tcW w:w="0" w:type="dxa"/>
            <w:vAlign w:val="bottom"/>
          </w:tcPr>
          <w:p>
            <w:pPr>
              <w:spacing w:after="0"/>
              <w:rPr>
                <w:sz w:val="1"/>
                <w:szCs w:val="1"/>
                <w:color w:val="auto"/>
              </w:rPr>
            </w:pP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8,659</w:t>
            </w: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13,247</w:t>
            </w:r>
          </w:p>
        </w:tc>
        <w:tc>
          <w:tcPr>
            <w:tcW w:w="0" w:type="dxa"/>
            <w:vAlign w:val="bottom"/>
          </w:tcPr>
          <w:p>
            <w:pPr>
              <w:spacing w:after="0"/>
              <w:rPr>
                <w:sz w:val="1"/>
                <w:szCs w:val="1"/>
                <w:color w:val="auto"/>
              </w:rPr>
            </w:pPr>
          </w:p>
        </w:tc>
      </w:tr>
      <w:tr>
        <w:trPr>
          <w:trHeight w:val="243"/>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23,095</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19,810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42,937</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3"/>
                <w:szCs w:val="23"/>
                <w:color w:val="auto"/>
                <w:vertAlign w:val="superscript"/>
              </w:rPr>
              <w:t>(1)</w:t>
            </w:r>
          </w:p>
        </w:tc>
        <w:tc>
          <w:tcPr>
            <w:tcW w:w="90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14,338</w:t>
            </w:r>
          </w:p>
        </w:tc>
        <w:tc>
          <w:tcPr>
            <w:tcW w:w="8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18,857</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28,365</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31,429</w:t>
            </w:r>
          </w:p>
        </w:tc>
        <w:tc>
          <w:tcPr>
            <w:tcW w:w="0" w:type="dxa"/>
            <w:vAlign w:val="bottom"/>
          </w:tcPr>
          <w:p>
            <w:pPr>
              <w:spacing w:after="0"/>
              <w:rPr>
                <w:sz w:val="1"/>
                <w:szCs w:val="1"/>
                <w:color w:val="auto"/>
              </w:rPr>
            </w:pPr>
          </w:p>
        </w:tc>
      </w:tr>
      <w:tr>
        <w:trPr>
          <w:trHeight w:val="237"/>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46,092</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45,397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92,894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87,613</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(3,985)</w:t>
            </w: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(17,806)</w:t>
            </w:r>
          </w:p>
        </w:tc>
        <w:tc>
          <w:tcPr>
            <w:tcW w:w="0" w:type="dxa"/>
            <w:vAlign w:val="bottom"/>
          </w:tcPr>
          <w:p>
            <w:pPr>
              <w:spacing w:after="0"/>
              <w:rPr>
                <w:sz w:val="1"/>
                <w:szCs w:val="1"/>
                <w:color w:val="auto"/>
              </w:rPr>
            </w:pPr>
          </w:p>
        </w:tc>
      </w:tr>
      <w:tr>
        <w:trPr>
          <w:trHeight w:val="243"/>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4,067</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4,028</w:t>
            </w:r>
          </w:p>
        </w:tc>
        <w:tc>
          <w:tcPr>
            <w:tcW w:w="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0" w:type="dxa"/>
            <w:vAlign w:val="bottom"/>
          </w:tcPr>
          <w:p>
            <w:pPr>
              <w:spacing w:after="0"/>
              <w:rPr>
                <w:sz w:val="1"/>
                <w:szCs w:val="1"/>
                <w:color w:val="auto"/>
              </w:rPr>
            </w:pPr>
          </w:p>
        </w:tc>
      </w:tr>
      <w:tr>
        <w:trPr>
          <w:trHeight w:val="237"/>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9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2,383</w:t>
            </w:r>
          </w:p>
        </w:tc>
        <w:tc>
          <w:tcPr>
            <w:tcW w:w="8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(14,425)</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w:t>
            </w:r>
          </w:p>
        </w:tc>
        <w:tc>
          <w:tcPr>
            <w:tcW w:w="0" w:type="dxa"/>
            <w:vAlign w:val="bottom"/>
          </w:tcPr>
          <w:p>
            <w:pPr>
              <w:spacing w:after="0"/>
              <w:rPr>
                <w:sz w:val="1"/>
                <w:szCs w:val="1"/>
                <w:color w:val="auto"/>
              </w:rPr>
            </w:pPr>
          </w:p>
        </w:tc>
      </w:tr>
      <w:tr>
        <w:trPr>
          <w:trHeight w:val="264"/>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900" w:type="dxa"/>
            <w:vAlign w:val="bottom"/>
            <w:tcBorders>
              <w:top w:val="single" w:sz="8" w:color="auto"/>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8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ind w:right="69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(11,595)</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51"/>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net income (loss) per share of Class A and Class B stock</w:t>
            </w:r>
          </w:p>
        </w:tc>
        <w:tc>
          <w:tcPr>
            <w:tcW w:w="90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80" w:type="dxa"/>
            <w:vAlign w:val="bottom"/>
          </w:tcPr>
          <w:p>
            <w:pPr>
              <w:spacing w:after="0"/>
              <w:rPr>
                <w:sz w:val="24"/>
                <w:szCs w:val="24"/>
                <w:color w:val="auto"/>
              </w:rPr>
            </w:pPr>
          </w:p>
        </w:tc>
        <w:tc>
          <w:tcPr>
            <w:tcW w:w="90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24"/>
                <w:szCs w:val="24"/>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4"/>
                <w:szCs w:val="24"/>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income (loss) per share of Class A and Class B stock</w:t>
            </w: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69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Weighted-average shares used to compute net income (loss) per</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504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attributable to common stockholders:</w:t>
            </w:r>
          </w:p>
        </w:tc>
        <w:tc>
          <w:tcPr>
            <w:tcW w:w="9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49,780</w:t>
            </w: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52,029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52,383</w:t>
            </w:r>
          </w:p>
        </w:tc>
        <w:tc>
          <w:tcPr>
            <w:tcW w:w="0" w:type="dxa"/>
            <w:vAlign w:val="bottom"/>
          </w:tcPr>
          <w:p>
            <w:pPr>
              <w:spacing w:after="0"/>
              <w:rPr>
                <w:sz w:val="1"/>
                <w:szCs w:val="1"/>
                <w:color w:val="auto"/>
              </w:rPr>
            </w:pP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55,577</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52,029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52,383</w:t>
            </w: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660" w:right="140" w:hanging="328"/>
        <w:spacing w:after="0" w:line="280" w:lineRule="auto"/>
        <w:tabs>
          <w:tab w:leader="none" w:pos="6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for the three and six months ended June 30, 2023 include a provision for bad debt of $5.7 million relating to a Demand Side Platform (“DSP”) buyer of our platform that filed for Chapter 11 bankruptcy.</w:t>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b w:val="1"/>
          <w:bCs w:val="1"/>
          <w:color w:val="auto"/>
        </w:rPr>
        <w:t>PUBMATIC, INC. AND SUBSIDIARIES</w:t>
      </w:r>
    </w:p>
    <w:p>
      <w:pPr>
        <w:spacing w:after="0" w:line="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COMPREHENSIVE LOSS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24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00" w:type="dxa"/>
            <w:vAlign w:val="bottom"/>
            <w:gridSpan w:val="4"/>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37"/>
        </w:trPr>
        <w:tc>
          <w:tcPr>
            <w:tcW w:w="506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50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506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64"/>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(5,724)</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(11,595)</w:t>
            </w: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9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27"/>
        </w:trPr>
        <w:tc>
          <w:tcPr>
            <w:tcW w:w="5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Unrealized loss on marketable securities, net of tax</w:t>
            </w:r>
          </w:p>
        </w:tc>
        <w:tc>
          <w:tcPr>
            <w:tcW w:w="9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6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940" w:type="dxa"/>
            <w:vAlign w:val="bottom"/>
            <w:tcBorders>
              <w:top w:val="single" w:sz="8" w:color="auto"/>
              <w:bottom w:val="single" w:sz="8" w:color="auto"/>
            </w:tcBorders>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1,963</w:t>
            </w:r>
          </w:p>
        </w:tc>
        <w:tc>
          <w:tcPr>
            <w:tcW w:w="10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(5,764)</w:t>
            </w:r>
          </w:p>
        </w:tc>
        <w:tc>
          <w:tcPr>
            <w:tcW w:w="8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(11,618)</w:t>
            </w:r>
          </w:p>
        </w:tc>
      </w:tr>
      <w:tr>
        <w:trPr>
          <w:trHeight w:val="20"/>
        </w:trPr>
        <w:tc>
          <w:tcPr>
            <w:tcW w:w="50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b w:val="1"/>
          <w:bCs w:val="1"/>
          <w:color w:val="auto"/>
        </w:rPr>
        <w:t>PUBMATIC, INC. AND SUBSIDIARIES</w:t>
      </w:r>
    </w:p>
    <w:p>
      <w:pPr>
        <w:spacing w:after="0" w:line="3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STOCKHOLDERS’ EQUITY</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00" w:type="dxa"/>
            <w:vAlign w:val="bottom"/>
          </w:tcPr>
          <w:p>
            <w:pPr>
              <w:spacing w:after="0"/>
              <w:rPr>
                <w:sz w:val="14"/>
                <w:szCs w:val="14"/>
                <w:color w:val="auto"/>
              </w:rPr>
            </w:pPr>
          </w:p>
        </w:tc>
        <w:tc>
          <w:tcPr>
            <w:tcW w:w="2140" w:type="dxa"/>
            <w:vAlign w:val="bottom"/>
            <w:gridSpan w:val="5"/>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23"/>
        </w:trPr>
        <w:tc>
          <w:tcPr>
            <w:tcW w:w="3500" w:type="dxa"/>
            <w:vAlign w:val="bottom"/>
          </w:tcPr>
          <w:p>
            <w:pPr>
              <w:spacing w:after="0"/>
              <w:rPr>
                <w:sz w:val="10"/>
                <w:szCs w:val="10"/>
                <w:color w:val="auto"/>
              </w:rPr>
            </w:pPr>
          </w:p>
        </w:tc>
        <w:tc>
          <w:tcPr>
            <w:tcW w:w="2140" w:type="dxa"/>
            <w:vAlign w:val="bottom"/>
            <w:gridSpan w:val="5"/>
            <w:vMerge w:val="continue"/>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vMerge w:val="restart"/>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0"/>
                <w:szCs w:val="10"/>
                <w:color w:val="auto"/>
              </w:rPr>
            </w:pPr>
          </w:p>
        </w:tc>
        <w:tc>
          <w:tcPr>
            <w:tcW w:w="960" w:type="dxa"/>
            <w:vAlign w:val="bottom"/>
            <w:gridSpan w:val="2"/>
            <w:vMerge w:val="restart"/>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0"/>
                <w:szCs w:val="10"/>
                <w:color w:val="auto"/>
              </w:rPr>
            </w:pPr>
          </w:p>
        </w:tc>
        <w:tc>
          <w:tcPr>
            <w:tcW w:w="1220" w:type="dxa"/>
            <w:vAlign w:val="bottom"/>
            <w:gridSpan w:val="2"/>
            <w:vMerge w:val="restart"/>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0"/>
                <w:szCs w:val="10"/>
                <w:color w:val="auto"/>
              </w:rPr>
            </w:pPr>
          </w:p>
        </w:tc>
        <w:tc>
          <w:tcPr>
            <w:tcW w:w="920" w:type="dxa"/>
            <w:vAlign w:val="bottom"/>
            <w:gridSpan w:val="2"/>
            <w:vMerge w:val="restart"/>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000" w:type="dxa"/>
            <w:vAlign w:val="bottom"/>
            <w:gridSpan w:val="2"/>
            <w:vMerge w:val="restart"/>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37"/>
        </w:trPr>
        <w:tc>
          <w:tcPr>
            <w:tcW w:w="350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500" w:type="dxa"/>
            <w:vAlign w:val="bottom"/>
          </w:tcPr>
          <w:p>
            <w:pPr>
              <w:spacing w:after="0"/>
              <w:rPr>
                <w:sz w:val="16"/>
                <w:szCs w:val="16"/>
                <w:color w:val="auto"/>
              </w:rPr>
            </w:pPr>
          </w:p>
        </w:tc>
        <w:tc>
          <w:tcPr>
            <w:tcW w:w="10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40" w:type="dxa"/>
            <w:vAlign w:val="bottom"/>
          </w:tcPr>
          <w:p>
            <w:pPr>
              <w:spacing w:after="0"/>
              <w:rPr>
                <w:sz w:val="16"/>
                <w:szCs w:val="16"/>
                <w:color w:val="auto"/>
              </w:rPr>
            </w:pP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0" w:type="dxa"/>
            <w:vAlign w:val="bottom"/>
          </w:tcPr>
          <w:p>
            <w:pPr>
              <w:spacing w:after="0"/>
              <w:rPr>
                <w:sz w:val="16"/>
                <w:szCs w:val="16"/>
                <w:color w:val="auto"/>
              </w:rPr>
            </w:pPr>
          </w:p>
        </w:tc>
        <w:tc>
          <w:tcPr>
            <w:tcW w:w="80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37"/>
        </w:trPr>
        <w:tc>
          <w:tcPr>
            <w:tcW w:w="350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(71,103)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230,419</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136,881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296,199</w:t>
            </w:r>
          </w:p>
        </w:tc>
        <w:tc>
          <w:tcPr>
            <w:tcW w:w="0" w:type="dxa"/>
            <w:vAlign w:val="bottom"/>
          </w:tcPr>
          <w:p>
            <w:pPr>
              <w:spacing w:after="0"/>
              <w:rPr>
                <w:sz w:val="1"/>
                <w:szCs w:val="1"/>
                <w:color w:val="auto"/>
              </w:rPr>
            </w:pPr>
          </w:p>
        </w:tc>
      </w:tr>
      <w:tr>
        <w:trPr>
          <w:trHeight w:val="243"/>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9,821</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0" w:type="dxa"/>
            <w:vAlign w:val="bottom"/>
          </w:tcPr>
          <w:p>
            <w:pPr>
              <w:spacing w:after="0"/>
              <w:rPr>
                <w:sz w:val="1"/>
                <w:szCs w:val="1"/>
                <w:color w:val="auto"/>
              </w:rPr>
            </w:pPr>
          </w:p>
        </w:tc>
      </w:tr>
      <w:tr>
        <w:trPr>
          <w:trHeight w:val="243"/>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Repurchase of shares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(15,754)</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Issuance of common stock related to RSU</w:t>
            </w: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5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vesting</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0" w:type="dxa"/>
            <w:vAlign w:val="bottom"/>
          </w:tcPr>
          <w:p>
            <w:pPr>
              <w:spacing w:after="0"/>
              <w:rPr>
                <w:sz w:val="1"/>
                <w:szCs w:val="1"/>
                <w:color w:val="auto"/>
              </w:rPr>
            </w:pPr>
          </w:p>
        </w:tc>
      </w:tr>
      <w:tr>
        <w:trPr>
          <w:trHeight w:val="237"/>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49,879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(86,857)</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241,179</w:t>
            </w: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134,427</w:t>
            </w: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288,730</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10,490</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10,490</w:t>
            </w:r>
          </w:p>
        </w:tc>
        <w:tc>
          <w:tcPr>
            <w:tcW w:w="0" w:type="dxa"/>
            <w:vAlign w:val="bottom"/>
          </w:tcPr>
          <w:p>
            <w:pPr>
              <w:spacing w:after="0"/>
              <w:rPr>
                <w:sz w:val="1"/>
                <w:szCs w:val="1"/>
                <w:color w:val="auto"/>
              </w:rPr>
            </w:pPr>
          </w:p>
        </w:tc>
      </w:tr>
      <w:tr>
        <w:trPr>
          <w:trHeight w:val="243"/>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Repurchase of shares</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(20,240)</w:t>
            </w:r>
          </w:p>
        </w:tc>
        <w:tc>
          <w:tcPr>
            <w:tcW w:w="0" w:type="dxa"/>
            <w:vAlign w:val="bottom"/>
          </w:tcPr>
          <w:p>
            <w:pPr>
              <w:spacing w:after="0"/>
              <w:rPr>
                <w:sz w:val="1"/>
                <w:szCs w:val="1"/>
                <w:color w:val="auto"/>
              </w:rPr>
            </w:pPr>
          </w:p>
        </w:tc>
      </w:tr>
      <w:tr>
        <w:trPr>
          <w:trHeight w:val="225"/>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Issuance of common stock related to</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Issuance of common stock related to RSU</w:t>
            </w: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5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vesting</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0" w:type="dxa"/>
            <w:vAlign w:val="bottom"/>
          </w:tcPr>
          <w:p>
            <w:pPr>
              <w:spacing w:after="0"/>
              <w:rPr>
                <w:sz w:val="1"/>
                <w:szCs w:val="1"/>
                <w:color w:val="auto"/>
              </w:rPr>
            </w:pPr>
          </w:p>
        </w:tc>
      </w:tr>
      <w:tr>
        <w:trPr>
          <w:trHeight w:val="26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June 30, 2024</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49,586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(107,097)</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253,455</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136,398</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282,729</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520" w:type="dxa"/>
            <w:vAlign w:val="bottom"/>
          </w:tcPr>
          <w:p>
            <w:pPr>
              <w:spacing w:after="0"/>
              <w:rPr>
                <w:sz w:val="15"/>
                <w:szCs w:val="15"/>
                <w:color w:val="auto"/>
              </w:rPr>
            </w:pPr>
          </w:p>
        </w:tc>
        <w:tc>
          <w:tcPr>
            <w:tcW w:w="2140" w:type="dxa"/>
            <w:vAlign w:val="bottom"/>
            <w:gridSpan w:val="5"/>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5"/>
                <w:szCs w:val="15"/>
                <w:color w:val="auto"/>
              </w:rPr>
            </w:pPr>
          </w:p>
        </w:tc>
        <w:tc>
          <w:tcPr>
            <w:tcW w:w="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5"/>
                <w:szCs w:val="15"/>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60" w:type="dxa"/>
            <w:vAlign w:val="bottom"/>
          </w:tcPr>
          <w:p>
            <w:pPr>
              <w:spacing w:after="0"/>
              <w:rPr>
                <w:sz w:val="15"/>
                <w:szCs w:val="15"/>
                <w:color w:val="auto"/>
              </w:rPr>
            </w:pPr>
          </w:p>
        </w:tc>
        <w:tc>
          <w:tcPr>
            <w:tcW w:w="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0" w:type="dxa"/>
            <w:vAlign w:val="bottom"/>
          </w:tcPr>
          <w:p>
            <w:pPr>
              <w:spacing w:after="0"/>
              <w:rPr>
                <w:sz w:val="15"/>
                <w:szCs w:val="15"/>
                <w:color w:val="auto"/>
              </w:rPr>
            </w:pPr>
          </w:p>
        </w:tc>
        <w:tc>
          <w:tcPr>
            <w:tcW w:w="800" w:type="dxa"/>
            <w:vAlign w:val="bottom"/>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9"/>
        </w:trPr>
        <w:tc>
          <w:tcPr>
            <w:tcW w:w="3520" w:type="dxa"/>
            <w:vAlign w:val="bottom"/>
          </w:tcPr>
          <w:p>
            <w:pPr>
              <w:spacing w:after="0"/>
              <w:rPr>
                <w:sz w:val="9"/>
                <w:szCs w:val="9"/>
                <w:color w:val="auto"/>
              </w:rPr>
            </w:pPr>
          </w:p>
        </w:tc>
        <w:tc>
          <w:tcPr>
            <w:tcW w:w="214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gridSpan w:val="2"/>
            <w:vMerge w:val="restart"/>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000" w:type="dxa"/>
            <w:vAlign w:val="bottom"/>
            <w:gridSpan w:val="2"/>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37"/>
        </w:trPr>
        <w:tc>
          <w:tcPr>
            <w:tcW w:w="352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3520" w:type="dxa"/>
            <w:vAlign w:val="bottom"/>
          </w:tcPr>
          <w:p>
            <w:pPr>
              <w:spacing w:after="0"/>
              <w:rPr>
                <w:sz w:val="17"/>
                <w:szCs w:val="17"/>
                <w:color w:val="auto"/>
              </w:rPr>
            </w:pPr>
          </w:p>
        </w:tc>
        <w:tc>
          <w:tcPr>
            <w:tcW w:w="10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7"/>
                <w:szCs w:val="17"/>
                <w:color w:val="auto"/>
              </w:rPr>
            </w:pP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4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60" w:type="dxa"/>
            <w:vAlign w:val="bottom"/>
          </w:tcPr>
          <w:p>
            <w:pPr>
              <w:spacing w:after="0"/>
              <w:rPr>
                <w:sz w:val="17"/>
                <w:szCs w:val="17"/>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0" w:type="dxa"/>
            <w:vAlign w:val="bottom"/>
          </w:tcPr>
          <w:p>
            <w:pPr>
              <w:spacing w:after="0"/>
              <w:rPr>
                <w:sz w:val="17"/>
                <w:szCs w:val="17"/>
                <w:color w:val="auto"/>
              </w:rPr>
            </w:pPr>
          </w:p>
        </w:tc>
        <w:tc>
          <w:tcPr>
            <w:tcW w:w="80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3"/>
        </w:trPr>
        <w:tc>
          <w:tcPr>
            <w:tcW w:w="35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52,705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195,677</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128,000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312,188</w:t>
            </w:r>
          </w:p>
        </w:tc>
        <w:tc>
          <w:tcPr>
            <w:tcW w:w="0" w:type="dxa"/>
            <w:vAlign w:val="bottom"/>
          </w:tcPr>
          <w:p>
            <w:pPr>
              <w:spacing w:after="0"/>
              <w:rPr>
                <w:sz w:val="1"/>
                <w:szCs w:val="1"/>
                <w:color w:val="auto"/>
              </w:rPr>
            </w:pPr>
          </w:p>
        </w:tc>
      </w:tr>
      <w:tr>
        <w:trPr>
          <w:trHeight w:val="243"/>
        </w:trPr>
        <w:tc>
          <w:tcPr>
            <w:tcW w:w="3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7,606</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43"/>
        </w:trPr>
        <w:tc>
          <w:tcPr>
            <w:tcW w:w="3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Repurchase of shares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(7,898)</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Issuance of common stock related to RSU</w:t>
            </w: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5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vesting</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(5,871)</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(5,871)</w:t>
            </w:r>
          </w:p>
        </w:tc>
        <w:tc>
          <w:tcPr>
            <w:tcW w:w="0" w:type="dxa"/>
            <w:vAlign w:val="bottom"/>
          </w:tcPr>
          <w:p>
            <w:pPr>
              <w:spacing w:after="0"/>
              <w:rPr>
                <w:sz w:val="1"/>
                <w:szCs w:val="1"/>
                <w:color w:val="auto"/>
              </w:rPr>
            </w:pPr>
          </w:p>
        </w:tc>
      </w:tr>
      <w:tr>
        <w:trPr>
          <w:trHeight w:val="237"/>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March 31, 2023</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52,323</w:t>
            </w: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(19,384)</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203,597</w:t>
            </w: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122,129</w:t>
            </w: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306,356</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7,924</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7,924</w:t>
            </w:r>
          </w:p>
        </w:tc>
        <w:tc>
          <w:tcPr>
            <w:tcW w:w="0" w:type="dxa"/>
            <w:vAlign w:val="bottom"/>
          </w:tcPr>
          <w:p>
            <w:pPr>
              <w:spacing w:after="0"/>
              <w:rPr>
                <w:sz w:val="1"/>
                <w:szCs w:val="1"/>
                <w:color w:val="auto"/>
              </w:rPr>
            </w:pPr>
          </w:p>
        </w:tc>
      </w:tr>
      <w:tr>
        <w:trPr>
          <w:trHeight w:val="243"/>
        </w:trPr>
        <w:tc>
          <w:tcPr>
            <w:tcW w:w="3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Repurchase of shares</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(15,582)</w:t>
            </w:r>
          </w:p>
        </w:tc>
        <w:tc>
          <w:tcPr>
            <w:tcW w:w="0" w:type="dxa"/>
            <w:vAlign w:val="bottom"/>
          </w:tcPr>
          <w:p>
            <w:pPr>
              <w:spacing w:after="0"/>
              <w:rPr>
                <w:sz w:val="1"/>
                <w:szCs w:val="1"/>
                <w:color w:val="auto"/>
              </w:rPr>
            </w:pPr>
          </w:p>
        </w:tc>
      </w:tr>
      <w:tr>
        <w:trPr>
          <w:trHeight w:val="225"/>
        </w:trPr>
        <w:tc>
          <w:tcPr>
            <w:tcW w:w="3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Issuance of common stock related to</w:t>
            </w: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Issuance of common stock related to RSU</w:t>
            </w: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5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vesting</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(5,724)</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(5,724)</w:t>
            </w:r>
          </w:p>
        </w:tc>
        <w:tc>
          <w:tcPr>
            <w:tcW w:w="0" w:type="dxa"/>
            <w:vAlign w:val="bottom"/>
          </w:tcPr>
          <w:p>
            <w:pPr>
              <w:spacing w:after="0"/>
              <w:rPr>
                <w:sz w:val="1"/>
                <w:szCs w:val="1"/>
                <w:color w:val="auto"/>
              </w:rPr>
            </w:pPr>
          </w:p>
        </w:tc>
      </w:tr>
      <w:tr>
        <w:trPr>
          <w:trHeight w:val="264"/>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June 30, 2023</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51,942</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(34,966)</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213,115</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116,405</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294,528</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b w:val="1"/>
          <w:bCs w:val="1"/>
          <w:color w:val="auto"/>
        </w:rPr>
        <w:t>PUBMATIC, INC. AND SUBSIDIARIES</w:t>
      </w:r>
    </w:p>
    <w:p>
      <w:pPr>
        <w:spacing w:after="0" w:line="32"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81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 FROM OPERATING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(11,595)</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22,330</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14,325</w:t>
            </w:r>
          </w:p>
        </w:tc>
        <w:tc>
          <w:tcPr>
            <w:tcW w:w="0" w:type="dxa"/>
            <w:vAlign w:val="bottom"/>
          </w:tcPr>
          <w:p>
            <w:pPr>
              <w:spacing w:after="0"/>
              <w:rPr>
                <w:sz w:val="1"/>
                <w:szCs w:val="1"/>
                <w:color w:val="auto"/>
              </w:rPr>
            </w:pPr>
          </w:p>
        </w:tc>
      </w:tr>
      <w:tr>
        <w:trPr>
          <w:trHeight w:val="243"/>
        </w:trPr>
        <w:tc>
          <w:tcPr>
            <w:tcW w:w="8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5,675</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(13,555)</w:t>
            </w:r>
          </w:p>
        </w:tc>
        <w:tc>
          <w:tcPr>
            <w:tcW w:w="0" w:type="dxa"/>
            <w:vAlign w:val="bottom"/>
          </w:tcPr>
          <w:p>
            <w:pPr>
              <w:spacing w:after="0"/>
              <w:rPr>
                <w:sz w:val="1"/>
                <w:szCs w:val="1"/>
                <w:color w:val="auto"/>
              </w:rPr>
            </w:pPr>
          </w:p>
        </w:tc>
      </w:tr>
      <w:tr>
        <w:trPr>
          <w:trHeight w:val="243"/>
        </w:trPr>
        <w:tc>
          <w:tcPr>
            <w:tcW w:w="8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Accretion of discount on marketable securities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Non-cash operating lease expense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w:t>
            </w:r>
          </w:p>
        </w:tc>
        <w:tc>
          <w:tcPr>
            <w:tcW w:w="0" w:type="dxa"/>
            <w:vAlign w:val="bottom"/>
          </w:tcPr>
          <w:p>
            <w:pPr>
              <w:spacing w:after="0"/>
              <w:rPr>
                <w:sz w:val="1"/>
                <w:szCs w:val="1"/>
                <w:color w:val="auto"/>
              </w:rPr>
            </w:pPr>
          </w:p>
        </w:tc>
      </w:tr>
      <w:tr>
        <w:trPr>
          <w:trHeight w:val="243"/>
        </w:trPr>
        <w:tc>
          <w:tcPr>
            <w:tcW w:w="8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41,743</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0" w:type="dxa"/>
            <w:vAlign w:val="bottom"/>
          </w:tcPr>
          <w:p>
            <w:pPr>
              <w:spacing w:after="0"/>
              <w:rPr>
                <w:sz w:val="1"/>
                <w:szCs w:val="1"/>
                <w:color w:val="auto"/>
              </w:rPr>
            </w:pPr>
          </w:p>
        </w:tc>
      </w:tr>
      <w:tr>
        <w:trPr>
          <w:trHeight w:val="243"/>
        </w:trPr>
        <w:tc>
          <w:tcPr>
            <w:tcW w:w="81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(30,078)</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Accrued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0" w:type="dxa"/>
            <w:vAlign w:val="bottom"/>
          </w:tcPr>
          <w:p>
            <w:pPr>
              <w:spacing w:after="0"/>
              <w:rPr>
                <w:sz w:val="1"/>
                <w:szCs w:val="1"/>
                <w:color w:val="auto"/>
              </w:rPr>
            </w:pPr>
          </w:p>
        </w:tc>
      </w:tr>
      <w:tr>
        <w:trPr>
          <w:trHeight w:val="243"/>
        </w:trPr>
        <w:tc>
          <w:tcPr>
            <w:tcW w:w="81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0" w:type="dxa"/>
            <w:vAlign w:val="bottom"/>
          </w:tcPr>
          <w:p>
            <w:pPr>
              <w:spacing w:after="0"/>
              <w:rPr>
                <w:sz w:val="1"/>
                <w:szCs w:val="1"/>
                <w:color w:val="auto"/>
              </w:rPr>
            </w:pPr>
          </w:p>
        </w:tc>
      </w:tr>
      <w:tr>
        <w:trPr>
          <w:trHeight w:val="23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36,238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28,602</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(2,552)</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(9,919)</w:t>
            </w:r>
          </w:p>
        </w:tc>
        <w:tc>
          <w:tcPr>
            <w:tcW w:w="0" w:type="dxa"/>
            <w:vAlign w:val="bottom"/>
          </w:tcPr>
          <w:p>
            <w:pPr>
              <w:spacing w:after="0"/>
              <w:rPr>
                <w:sz w:val="1"/>
                <w:szCs w:val="1"/>
                <w:color w:val="auto"/>
              </w:rPr>
            </w:pPr>
          </w:p>
        </w:tc>
      </w:tr>
      <w:tr>
        <w:trPr>
          <w:trHeight w:val="243"/>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(46,715)</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sales of marketable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18,873</w:t>
            </w:r>
          </w:p>
        </w:tc>
        <w:tc>
          <w:tcPr>
            <w:tcW w:w="0" w:type="dxa"/>
            <w:vAlign w:val="bottom"/>
          </w:tcPr>
          <w:p>
            <w:pPr>
              <w:spacing w:after="0"/>
              <w:rPr>
                <w:sz w:val="1"/>
                <w:szCs w:val="1"/>
                <w:color w:val="auto"/>
              </w:rPr>
            </w:pPr>
          </w:p>
        </w:tc>
      </w:tr>
      <w:tr>
        <w:trPr>
          <w:trHeight w:val="243"/>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46,500</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6,187</w:t>
            </w:r>
          </w:p>
        </w:tc>
        <w:tc>
          <w:tcPr>
            <w:tcW w:w="0" w:type="dxa"/>
            <w:vAlign w:val="bottom"/>
          </w:tcPr>
          <w:p>
            <w:pPr>
              <w:spacing w:after="0"/>
              <w:rPr>
                <w:sz w:val="1"/>
                <w:szCs w:val="1"/>
                <w:color w:val="auto"/>
              </w:rPr>
            </w:pP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Payment of business combination indemnification claims holdback</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issuance of common stock for employee stock purchase plan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0" w:type="dxa"/>
            <w:vAlign w:val="bottom"/>
          </w:tcPr>
          <w:p>
            <w:pPr>
              <w:spacing w:after="0"/>
              <w:rPr>
                <w:sz w:val="1"/>
                <w:szCs w:val="1"/>
                <w:color w:val="auto"/>
              </w:rPr>
            </w:pPr>
          </w:p>
        </w:tc>
      </w:tr>
      <w:tr>
        <w:trPr>
          <w:trHeight w:val="243"/>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Principal payments on finance lease obligations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Payments to acquire treasury stock</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(35,868)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(23,480)</w:t>
            </w:r>
          </w:p>
        </w:tc>
        <w:tc>
          <w:tcPr>
            <w:tcW w:w="0" w:type="dxa"/>
            <w:vAlign w:val="bottom"/>
          </w:tcPr>
          <w:p>
            <w:pPr>
              <w:spacing w:after="0"/>
              <w:rPr>
                <w:sz w:val="1"/>
                <w:szCs w:val="1"/>
                <w:color w:val="auto"/>
              </w:rPr>
            </w:pPr>
          </w:p>
        </w:tc>
      </w:tr>
      <w:tr>
        <w:trPr>
          <w:trHeight w:val="23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(35,356)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(21,634)</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13,155</w:t>
            </w:r>
          </w:p>
        </w:tc>
        <w:tc>
          <w:tcPr>
            <w:tcW w:w="0" w:type="dxa"/>
            <w:vAlign w:val="bottom"/>
          </w:tcPr>
          <w:p>
            <w:pPr>
              <w:spacing w:after="0"/>
              <w:rPr>
                <w:sz w:val="1"/>
                <w:szCs w:val="1"/>
                <w:color w:val="auto"/>
              </w:rPr>
            </w:pPr>
          </w:p>
        </w:tc>
      </w:tr>
      <w:tr>
        <w:trPr>
          <w:trHeight w:val="23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 Beginning of period</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78,509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92,382</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 End of period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73,521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105,537</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1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paid</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10,499</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DISCLOSURES OF NON-CASH INVESTING AND FINANCING INFORMATION:</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capitalized as internal-use software costs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included in accounts payable and accrued liabilities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7,976</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2,350</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software costs included in accounts payable and accrued liabilities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Business combination purchase consideration - indemnification claims holdback</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229" w:right="339" w:bottom="484" w:gutter="0" w:footer="0" w:header="0"/>
        </w:sectPr>
      </w:pP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484"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PUBMATIC,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Description of Business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PubMatic, Inc. (together with its subsidiaries, the “Company” or “PubMatic”) was founded in 2006. The Company has offices worldwide. The Company provides a specialized cloud infrastructure platform that enables real-time programmatic advertising transactions. The purpose-built technology and infrastructure provides superior outcomes for both publishers and advertisers leveraging an efficient design, machine learning, and data processing capabilities, with customer alignment and global omnichannel reach.</w:t>
      </w:r>
    </w:p>
    <w:p>
      <w:pPr>
        <w:spacing w:after="0" w:line="176" w:lineRule="exact"/>
        <w:rPr>
          <w:sz w:val="20"/>
          <w:szCs w:val="20"/>
          <w:color w:val="auto"/>
        </w:rPr>
      </w:pPr>
    </w:p>
    <w:p>
      <w:pPr>
        <w:ind w:right="520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Note 2 – Basis of Presentation and Summary of Significant Accounting Policies </w:t>
      </w:r>
      <w:r>
        <w:rPr>
          <w:rFonts w:ascii="Times New Roman" w:cs="Times New Roman" w:eastAsia="Times New Roman" w:hAnsi="Times New Roman"/>
          <w:sz w:val="18"/>
          <w:szCs w:val="18"/>
          <w:b w:val="1"/>
          <w:bCs w:val="1"/>
          <w:i w:val="1"/>
          <w:iCs w:val="1"/>
          <w:color w:val="auto"/>
        </w:rPr>
        <w:t>Fiscal Year</w:t>
      </w: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fiscal year ends on December 31, and its fiscal quarters end on March 31, June 30, September 30, and December 31. References to fiscal year 2024, for example, refer to the fiscal year ending December 31, 2024.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Condensed Consolidated Financial Information</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PubMatic, Inc. and its wholly owned subsidiaries, and have been prepared in accordance with generally accepted accounting principles in the United States (“GAAP”) and following the requirements of the Securities and Exchange Commission (“SEC”) for interim reporting. As permitted under those rules, certain footnotes or other financial information that are normally required by GAAP can be condensed or omitted. These financial statements have been prepared on the same basis as the Company’s annual financial statements and, in the opinion of management, reflect all adjustments, consisting only of normal recurring adjustments, which are necessary for the fair statement of the Company’s financial information. These interim results are not necessarily indicative of the results to be expected for the fiscal year ending December 31, 2024 or for any other interim period or for any other future year. The accompanying unaudited condensed consolidated financial statements and related financial information should be read in conjunction with the audited consolidated financial statements and the related notes contained in the Company’s Annual Report on Form 10-K for the fiscal year ended December 31, 2023, as filed with the SEC on February 28, 2024 (the “Annual Report”).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accordance with GAAP. The accompanying condensed consolidated financial statements include the accounts of PubMatic, Inc. and its wholly-owned subsidiaries. All intercompany accounts and transactions have been eliminated in consolidation.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conformity with GAAP requires management to make estimates and assumptions that affect the amounts of assets and liabilities reported, disclosures about contingent assets and liabilities, and reported amounts of revenue and expenses.</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evaluates its estimates and assumptions on an ongoing basis using historical experience and other factors and adjusts those estimates and assumptions when facts and circumstances dictate. Actual results could materially differ from those estimates and assumptions. Due to the inherent uncertainty involved in making assumptions and estimates, events and changes in circumstances arising after June 30, 2024, may result in actual outcomes that differ from those contemplated by the Company’s assumptions and estimates.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Revenue and Accounts Receivable</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defines its revenue concentration based on revenue recognized from individual publishers. For the three months ended June 30, 2024 and 2023, no publisher represented more than 10% of the Company’s revenue. For the six months ended June 30, 2024 and 2023, no publisher represented more than 10% and one publisher represented 10% of the Company’s revenue, respectively. As of June 30, 2024, three buyers accounted for 38%, 12%, and 11% respectively, of accounts receivable. As of December 31, 2023, three buyers accounted for 30%, 21%, and 14%, respectively, of accounts receivable.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Credit Losses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Accounts receivable are recorded at the invoiced amount, are unsecured, and do not bear interest. The allowance for credit losses is based on the best estimate of the amount of probable credit losses in existing accounts receivable. The allowance for credit losses is determined based on historical collection experience and the review in each period of the status of the then outstanding accounts receivable, while taking into consideration current customer information, collection history, and other relevant data. Account balances are written off against the allowance when the Company believes it is probable the receivable will not be recovered.</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changes in the allowance for credit losses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24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00" w:type="dxa"/>
            <w:vAlign w:val="bottom"/>
            <w:gridSpan w:val="4"/>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37"/>
        </w:trPr>
        <w:tc>
          <w:tcPr>
            <w:tcW w:w="504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5040" w:type="dxa"/>
            <w:vAlign w:val="bottom"/>
          </w:tcPr>
          <w:p>
            <w:pPr>
              <w:spacing w:after="0"/>
              <w:rPr>
                <w:sz w:val="16"/>
                <w:szCs w:val="16"/>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504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 beginning balance</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provision for expected credit losses</w:t>
            </w:r>
          </w:p>
        </w:tc>
        <w:tc>
          <w:tcPr>
            <w:tcW w:w="1000" w:type="dxa"/>
            <w:vAlign w:val="bottom"/>
          </w:tcPr>
          <w:p>
            <w:pPr>
              <w:spacing w:after="0"/>
              <w:rPr>
                <w:sz w:val="21"/>
                <w:szCs w:val="21"/>
                <w:color w:val="auto"/>
              </w:rPr>
            </w:pPr>
          </w:p>
        </w:tc>
        <w:tc>
          <w:tcPr>
            <w:tcW w:w="5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14,547</w:t>
            </w:r>
          </w:p>
        </w:tc>
      </w:tr>
      <w:tr>
        <w:trPr>
          <w:trHeight w:val="27"/>
        </w:trPr>
        <w:tc>
          <w:tcPr>
            <w:tcW w:w="50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10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w:t>
            </w:r>
          </w:p>
        </w:tc>
      </w:tr>
      <w:tr>
        <w:trPr>
          <w:trHeight w:val="26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 ending balance</w:t>
            </w:r>
          </w:p>
        </w:tc>
        <w:tc>
          <w:tcPr>
            <w:tcW w:w="1000" w:type="dxa"/>
            <w:vAlign w:val="bottom"/>
            <w:tcBorders>
              <w:top w:val="single" w:sz="8" w:color="auto"/>
              <w:bottom w:val="single" w:sz="8" w:color="auto"/>
            </w:tcBorders>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80" w:type="dxa"/>
            <w:vAlign w:val="bottom"/>
          </w:tcPr>
          <w:p>
            <w:pPr>
              <w:spacing w:after="0"/>
              <w:rPr>
                <w:sz w:val="22"/>
                <w:szCs w:val="22"/>
                <w:color w:val="auto"/>
              </w:rPr>
            </w:pPr>
          </w:p>
        </w:tc>
        <w:tc>
          <w:tcPr>
            <w:tcW w:w="920" w:type="dxa"/>
            <w:vAlign w:val="bottom"/>
            <w:tcBorders>
              <w:top w:val="single" w:sz="8" w:color="auto"/>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14,845</w:t>
            </w:r>
          </w:p>
        </w:tc>
        <w:tc>
          <w:tcPr>
            <w:tcW w:w="8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14,845</w:t>
            </w:r>
          </w:p>
        </w:tc>
      </w:tr>
      <w:tr>
        <w:trPr>
          <w:trHeight w:val="21"/>
        </w:trPr>
        <w:tc>
          <w:tcPr>
            <w:tcW w:w="50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During the three and six months ended June 30, 2023, the provision for expected credit losses associated with accounts receivable increased by $14.5 million relating to uncollectible receivables for a DSP buyer of the Company’s platform that filed for Chapter 11 bankruptcy on June 30, 2023. Of the total uncollectible receivables from the DSP buyer of $14.5 million, $8.8 million was subject to chargeback to publishers of the Company and recorded as contra payable to publishers related to expected recoveries. The result was $5.7 million of bad debt expense for the three and six months ended June 30, 2023.</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2023-07 "Segment Reporting (Topic 280): Improvements to Reportable Segment Disclosures" which expands annual and interim disclosure requirements for reportable segments, primarily through enhanced disclosures about significant segment expenses. ASU 2023-07 is effective for our annual periods beginning January 1, 2024, and for interim periods beginning January 1, 2025, with early adoption permitted. We are currently evaluating the potential effect that the updated standard will have on our financial statement disclosures.</w:t>
      </w:r>
    </w:p>
    <w:p>
      <w:pPr>
        <w:spacing w:after="0" w:line="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December 2023, FASB issued ASU 2023-09 "Income Taxes (Topic 740): Improvements to Income Tax Disclosures" to expand the disclosure requirements for income taxes, specifically related to the rate reconciliation and income taxes paid. ASU 2023-09 is effective for our annual periods beginning January 1, 2025, with early adoption permitted. We are currently evaluating the potential effect that the updated standard will have on our financial statement disclosures.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Fair Value Measurements</w:t>
      </w:r>
    </w:p>
    <w:p>
      <w:pPr>
        <w:spacing w:after="0" w:line="121"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fair value of the Company’s financial assets and liabilities measured on a recurring basis by level within the fair value hierarchy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360" w:type="dxa"/>
            <w:vAlign w:val="bottom"/>
            <w:gridSpan w:val="3"/>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50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5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6"/>
                <w:szCs w:val="16"/>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10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50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38,418</w:t>
            </w:r>
          </w:p>
        </w:tc>
        <w:tc>
          <w:tcPr>
            <w:tcW w:w="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38,418</w:t>
            </w: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w:t>
            </w: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32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11,521</w:t>
            </w: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11,521</w:t>
            </w:r>
          </w:p>
        </w:tc>
      </w:tr>
      <w:tr>
        <w:trPr>
          <w:trHeight w:val="27"/>
        </w:trPr>
        <w:tc>
          <w:tcPr>
            <w:tcW w:w="5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3"/>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equivalents</w:t>
            </w: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38,418</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15,106</w:t>
            </w:r>
          </w:p>
        </w:tc>
        <w:tc>
          <w:tcPr>
            <w:tcW w:w="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53,524</w:t>
            </w:r>
          </w:p>
        </w:tc>
      </w:tr>
      <w:tr>
        <w:trPr>
          <w:trHeight w:val="237"/>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42,577</w:t>
            </w:r>
          </w:p>
        </w:tc>
        <w:tc>
          <w:tcPr>
            <w:tcW w:w="8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42,577</w:t>
            </w: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and government debt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49,498</w:t>
            </w:r>
          </w:p>
        </w:tc>
        <w:tc>
          <w:tcPr>
            <w:tcW w:w="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49,498</w:t>
            </w:r>
          </w:p>
        </w:tc>
      </w:tr>
      <w:tr>
        <w:trPr>
          <w:trHeight w:val="237"/>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92,075</w:t>
            </w:r>
          </w:p>
        </w:tc>
        <w:tc>
          <w:tcPr>
            <w:tcW w:w="8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92,075</w:t>
            </w:r>
          </w:p>
        </w:tc>
      </w:tr>
      <w:tr>
        <w:trPr>
          <w:trHeight w:val="27"/>
        </w:trPr>
        <w:tc>
          <w:tcPr>
            <w:tcW w:w="5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3"/>
        </w:trPr>
        <w:tc>
          <w:tcPr>
            <w:tcW w:w="50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financial assets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38,418</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107,181</w:t>
            </w:r>
          </w:p>
        </w:tc>
        <w:tc>
          <w:tcPr>
            <w:tcW w:w="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145,599</w:t>
            </w:r>
          </w:p>
        </w:tc>
      </w:tr>
      <w:tr>
        <w:trPr>
          <w:trHeight w:val="20"/>
        </w:trPr>
        <w:tc>
          <w:tcPr>
            <w:tcW w:w="5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96"/>
        </w:trPr>
        <w:tc>
          <w:tcPr>
            <w:tcW w:w="5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60" w:type="dxa"/>
            <w:vAlign w:val="bottom"/>
            <w:gridSpan w:val="3"/>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
        </w:trPr>
        <w:tc>
          <w:tcPr>
            <w:tcW w:w="50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5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6"/>
                <w:szCs w:val="16"/>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10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50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42,126</w:t>
            </w:r>
          </w:p>
        </w:tc>
        <w:tc>
          <w:tcPr>
            <w:tcW w:w="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42,126</w:t>
            </w: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12,528</w:t>
            </w:r>
          </w:p>
        </w:tc>
        <w:tc>
          <w:tcPr>
            <w:tcW w:w="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12,528</w:t>
            </w:r>
          </w:p>
        </w:tc>
      </w:tr>
      <w:tr>
        <w:trPr>
          <w:trHeight w:val="237"/>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equivalents</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42,126</w:t>
            </w: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12,528</w:t>
            </w:r>
          </w:p>
        </w:tc>
        <w:tc>
          <w:tcPr>
            <w:tcW w:w="8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54,654</w:t>
            </w:r>
          </w:p>
        </w:tc>
      </w:tr>
      <w:tr>
        <w:trPr>
          <w:trHeight w:val="27"/>
        </w:trPr>
        <w:tc>
          <w:tcPr>
            <w:tcW w:w="5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50,962</w:t>
            </w: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50,962</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Agency debt securities</w:t>
            </w:r>
          </w:p>
        </w:tc>
        <w:tc>
          <w:tcPr>
            <w:tcW w:w="32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2,995</w:t>
            </w: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2,995</w:t>
            </w: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and government debt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42,878</w:t>
            </w:r>
          </w:p>
        </w:tc>
        <w:tc>
          <w:tcPr>
            <w:tcW w:w="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42,878</w:t>
            </w:r>
          </w:p>
        </w:tc>
      </w:tr>
      <w:tr>
        <w:trPr>
          <w:trHeight w:val="237"/>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96,835</w:t>
            </w:r>
          </w:p>
        </w:tc>
        <w:tc>
          <w:tcPr>
            <w:tcW w:w="8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96,835</w:t>
            </w:r>
          </w:p>
        </w:tc>
      </w:tr>
      <w:tr>
        <w:trPr>
          <w:trHeight w:val="27"/>
        </w:trPr>
        <w:tc>
          <w:tcPr>
            <w:tcW w:w="5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3"/>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financial assets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42,126</w:t>
            </w: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109,363</w:t>
            </w:r>
          </w:p>
        </w:tc>
        <w:tc>
          <w:tcPr>
            <w:tcW w:w="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151,489</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Company’s financial assets consist of Level 1 and 2 assets. The Company had no Level 3 assets or liabilities for the periods presented. The Company classifies its cash equivalents and marketable securities within Level 1 or Level 2 because they are valued using either quoted market prices or inputs other than quoted prices which are directly or indirectly observable in the market, including readily-available pricing sources for the identical underlying security which may not be actively traded. The Company’s fixed income available-for-sale securities consist of high quality, investment grade securities from diverse issuers. The valuation techniques used to measure the fair value of the Company’s marketable securities were derived from non-binding market consensus prices that are corroborated by observable market data and quoted market prices for similar instruments.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Balance Sheet Components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summarize the Company’s marketable securities by significant investment categories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8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7"/>
        </w:trPr>
        <w:tc>
          <w:tcPr>
            <w:tcW w:w="50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186"/>
        </w:trPr>
        <w:tc>
          <w:tcPr>
            <w:tcW w:w="5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80" w:type="dxa"/>
            <w:vAlign w:val="bottom"/>
          </w:tcPr>
          <w:p>
            <w:pPr>
              <w:spacing w:after="0"/>
              <w:rPr>
                <w:sz w:val="16"/>
                <w:szCs w:val="16"/>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Unrealized Gain</w:t>
            </w:r>
          </w:p>
        </w:tc>
        <w:tc>
          <w:tcPr>
            <w:tcW w:w="180" w:type="dxa"/>
            <w:vAlign w:val="bottom"/>
          </w:tcPr>
          <w:p>
            <w:pPr>
              <w:spacing w:after="0"/>
              <w:rPr>
                <w:sz w:val="16"/>
                <w:szCs w:val="16"/>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260" w:type="dxa"/>
            <w:vAlign w:val="bottom"/>
          </w:tcPr>
          <w:p>
            <w:pPr>
              <w:spacing w:after="0"/>
              <w:rPr>
                <w:sz w:val="16"/>
                <w:szCs w:val="16"/>
                <w:color w:val="auto"/>
              </w:rPr>
            </w:pPr>
          </w:p>
        </w:tc>
        <w:tc>
          <w:tcPr>
            <w:tcW w:w="122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37"/>
        </w:trPr>
        <w:tc>
          <w:tcPr>
            <w:tcW w:w="50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43"/>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42,605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42,577</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and government debt securities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49,501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49,498</w:t>
            </w:r>
          </w:p>
        </w:tc>
      </w:tr>
      <w:tr>
        <w:trPr>
          <w:trHeight w:val="27"/>
        </w:trPr>
        <w:tc>
          <w:tcPr>
            <w:tcW w:w="5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3"/>
        </w:trPr>
        <w:tc>
          <w:tcPr>
            <w:tcW w:w="5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92,106</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92,075</w:t>
            </w:r>
          </w:p>
        </w:tc>
      </w:tr>
      <w:tr>
        <w:trPr>
          <w:trHeight w:val="20"/>
        </w:trPr>
        <w:tc>
          <w:tcPr>
            <w:tcW w:w="5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396"/>
        </w:trPr>
        <w:tc>
          <w:tcPr>
            <w:tcW w:w="5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8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7"/>
        </w:trPr>
        <w:tc>
          <w:tcPr>
            <w:tcW w:w="50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186"/>
        </w:trPr>
        <w:tc>
          <w:tcPr>
            <w:tcW w:w="5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80" w:type="dxa"/>
            <w:vAlign w:val="bottom"/>
          </w:tcPr>
          <w:p>
            <w:pPr>
              <w:spacing w:after="0"/>
              <w:rPr>
                <w:sz w:val="16"/>
                <w:szCs w:val="16"/>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Unrealized Gain</w:t>
            </w:r>
          </w:p>
        </w:tc>
        <w:tc>
          <w:tcPr>
            <w:tcW w:w="180" w:type="dxa"/>
            <w:vAlign w:val="bottom"/>
          </w:tcPr>
          <w:p>
            <w:pPr>
              <w:spacing w:after="0"/>
              <w:rPr>
                <w:sz w:val="16"/>
                <w:szCs w:val="16"/>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260" w:type="dxa"/>
            <w:vAlign w:val="bottom"/>
          </w:tcPr>
          <w:p>
            <w:pPr>
              <w:spacing w:after="0"/>
              <w:rPr>
                <w:sz w:val="16"/>
                <w:szCs w:val="16"/>
                <w:color w:val="auto"/>
              </w:rPr>
            </w:pPr>
          </w:p>
        </w:tc>
        <w:tc>
          <w:tcPr>
            <w:tcW w:w="122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37"/>
        </w:trPr>
        <w:tc>
          <w:tcPr>
            <w:tcW w:w="50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44"/>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50,975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50,962</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Agency debt securities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2,995</w:t>
            </w:r>
          </w:p>
        </w:tc>
      </w:tr>
      <w:tr>
        <w:trPr>
          <w:trHeight w:val="27"/>
        </w:trPr>
        <w:tc>
          <w:tcPr>
            <w:tcW w:w="5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and government debt securities</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42,867</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42,878</w:t>
            </w:r>
          </w:p>
        </w:tc>
      </w:tr>
      <w:tr>
        <w:trPr>
          <w:trHeight w:val="263"/>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96,839</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96,835</w:t>
            </w:r>
          </w:p>
        </w:tc>
      </w:tr>
      <w:tr>
        <w:trPr>
          <w:trHeight w:val="20"/>
        </w:trPr>
        <w:tc>
          <w:tcPr>
            <w:tcW w:w="5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remaining contractual maturity of all marketable securities was within one year as of June 30, 2024 and December 31, 2023. Realized gains and losses were not material for the six months ended June 30, 2024 and 2023. As of June 30, 2024 and 2023, there were no securities that were in an unrealized loss position for more than twelve months.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Equipment and Software, Net</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Property, equipment and software, net consisted of the following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4"/>
                <w:szCs w:val="14"/>
                <w:color w:val="auto"/>
              </w:rPr>
            </w:pPr>
          </w:p>
        </w:tc>
        <w:tc>
          <w:tcPr>
            <w:tcW w:w="126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50"/>
        </w:trPr>
        <w:tc>
          <w:tcPr>
            <w:tcW w:w="818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Internal-use software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56,257</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Network hardware, computer equipment and software</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137,709</w:t>
            </w:r>
          </w:p>
        </w:tc>
      </w:tr>
      <w:tr>
        <w:trPr>
          <w:trHeight w:val="27"/>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5,173</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2,304</w:t>
            </w:r>
          </w:p>
        </w:tc>
      </w:tr>
      <w:tr>
        <w:trPr>
          <w:trHeight w:val="27"/>
        </w:trPr>
        <w:tc>
          <w:tcPr>
            <w:tcW w:w="8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Property, equipment and software, gross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201,443</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(140,714)</w:t>
            </w:r>
          </w:p>
        </w:tc>
      </w:tr>
      <w:tr>
        <w:trPr>
          <w:trHeight w:val="27"/>
        </w:trPr>
        <w:tc>
          <w:tcPr>
            <w:tcW w:w="8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8"/>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property, equipment and software,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60,137</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60,729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related to property, equipment, and software (excluding amortization of internal-use software) was $6.4 million and $7.2 million for the three months ended June 30, 2024 and 2023, respectively, and $13.0 million and $14.6 million for the six months ended June 30, 2024 and 2023, respectively.</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capitalized $6.0 million and $5.4 million in software development costs during the three months ended June 30, 2024 and 2023, respectively, and $11.9 million and $10.8 million for the six months ended June 30, 2024 and 2023, respectively. Amortization expense of internal-use software was $4.6 million and $3.3 million during the three months ended June 30, 2024 and 2023, respectively, and $8.8 million and $6.1 million for the six months ended June 30, 2024 and 2023, respectively. These costs are included within cost of revenue in the condensed consolidated statements of operations.</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did not recognize any impairment charges on its long-lived assets during the six months ended June 30, 2024 and 2023, respectively.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Payable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Accounts payable consisted of the following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5"/>
                <w:szCs w:val="15"/>
                <w:color w:val="auto"/>
              </w:rPr>
            </w:pPr>
          </w:p>
        </w:tc>
        <w:tc>
          <w:tcPr>
            <w:tcW w:w="126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1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44"/>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Payable to publishers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335,061</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and other payables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12,612</w:t>
            </w:r>
          </w:p>
        </w:tc>
      </w:tr>
      <w:tr>
        <w:trPr>
          <w:trHeight w:val="27"/>
        </w:trPr>
        <w:tc>
          <w:tcPr>
            <w:tcW w:w="8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8"/>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accounts payable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340,793</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347,673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Liabilities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Accrued liabilities consisted of the following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5"/>
                <w:szCs w:val="15"/>
                <w:color w:val="auto"/>
              </w:rPr>
            </w:pPr>
          </w:p>
        </w:tc>
        <w:tc>
          <w:tcPr>
            <w:tcW w:w="126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1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44"/>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18,784</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6,900</w:t>
            </w:r>
          </w:p>
        </w:tc>
      </w:tr>
      <w:tr>
        <w:trPr>
          <w:trHeight w:val="27"/>
        </w:trPr>
        <w:tc>
          <w:tcPr>
            <w:tcW w:w="8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8"/>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22,550</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25,684</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Senior Secured Credit Facilities Agreement</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October 17, 2022, the Company entered into a Senior Secured Credit Facilities Credit Agreement (the “Credit Agreement”) with the several lenders parties thereto (the “Lenders”), and Silicon Valley Bank (“SVB”), as administrative agent, lead arranger, issuing lender, and swingline lender. The Credit Agreement matures on October 17, 2027.</w:t>
      </w:r>
    </w:p>
    <w:p>
      <w:pPr>
        <w:spacing w:after="0" w:line="6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Credit Agreement provides a revolving credit facility in an aggregate principal amount of $110.0 million (“the Revolving Credit Facility”), including a $25.0 million letter of credit sub-facility and a $25.0 million swingline sub-facility. The Company’s obligations under the Revolving Credit Facility and the letter of credit sub-facility (described in Note 8) with SVB are secured by substantially all of its assets excluding its intellectual property. The Company may, subject to certain customary conditions, on one or more occasions increase commitments under the Revolving Credit Facility in an amount not to exceed $90.0 million in the aggregate (the “Incremental Facility”). Each Lender will have discretion to determine whether it will participate in any Incremental Facility.</w:t>
      </w:r>
    </w:p>
    <w:p>
      <w:pPr>
        <w:spacing w:after="0" w:line="7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Borrowings under the Revolving Credit Facility will accrue interest at rates equal, at the Company’s election, to (i) the applicable secured overnight financing rate (“SOFR”), plus the applicable margin for such loans, or (ii) the alternate base rate (“ABR”), which is defined as the highest of (a) the prime rate in effect from time to time, (b) the federal funds effective rate in effect from time to time plus 0.50%, and (c) the adjusted term SOFR for a one (1) month tenor in effect from time to time plus 1.00%, plus the applicable margin for such loans. The applicable margin for borrowings bearing interest on the SOFR ranges from 2.00% to 2.75%, and the applicable margin for borrowings bearing interest based on the ABR ranges from 1.00% to 1.75%. As of June 30, 2024, the applicable interest rate under the revolving credit facility was 9.50%. The Company will pay a quarterly commitment fee during the term of the Credit Agreement for the non-use of available funds ranging from 0.25% to 0.35%. In addition, the Credit Agreement provides a mechanism to determine a successor reference rate to the applicable reference rate if, among other things, the applicable reference rate becomes unavailable or is generally replaced as a benchmark interest rate.</w:t>
      </w:r>
    </w:p>
    <w:p>
      <w:pPr>
        <w:spacing w:after="0" w:line="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Credit Agreement contains customary representations and warranties as well as customary affirmative and negative covenants. Negative covenants include, among others, limitations on incurrence of indebtedness, liens, disposition of property and investments by the Company and its subsidiaries. In addition, the Credit Agreement requires the Company to maintain certain interest coverage, leverage and senior leverage ratios. To date, the Company is in compliance with the affirmative and negative covenants.</w:t>
      </w:r>
    </w:p>
    <w:p>
      <w:pPr>
        <w:spacing w:after="0" w:line="7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Credit Agreement contains customary events of default. Upon the occurrence and during the continuance of an event of default, the Lenders may declare the outstanding advances and all other obligations under the Credit Agreement immediately due and payable.</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may use amounts borrowed under the Credit Agreement for general corporate purposes or working capital financing. The Company may borrow additional amounts under the Credit Agreement from time to time as opportunities and needs arise. As of June 30, 2024, the Company has not drawn down on the credit facility.</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Following the SVB closure by the California Department of Financial Protection and Innovation on March 10, 2023, and its subsequent receivership by the Federal Deposit Insurance Corporation (“FDIC”), the FDIC announced that all of SVB’s deposits and substantially all of its assets had been transferred to a newly created, full-service FDIC-operated bridge bank, Silicon Valley Bridge Bank, N.A. (“SVBB”). On March 27, 2023, First Citizens Bank &amp; Trust Company (“First Citizens”) acquired substantially all of the loans and certain other assets of the former SVB, and assumed all customer deposits and certain other liabilities of the former SVB. As such, First Citizen assumed SVB’s obligations under the Credit Agreement.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Leases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Operating lease cost is recognized on a straight-line basis over the lease term. Finance lease cost is recognized as a combination of the amortization expense for the right-of-use assets and interest expense for the outstanding lease liabilities, and results in a front-loaded expense pattern over the lease term. Short-term and variable lease costs are not material to the Company’s condensed consolidated financial statements.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six months ended June 30, 2024, operating right-of-use assets obtained in exchange for new lease obligations was $4.1 million.</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lease cost were as follows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25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00" w:type="dxa"/>
            <w:vAlign w:val="bottom"/>
            <w:gridSpan w:val="4"/>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37"/>
        </w:trPr>
        <w:tc>
          <w:tcPr>
            <w:tcW w:w="506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50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506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3,668</w:t>
            </w:r>
          </w:p>
        </w:tc>
      </w:tr>
      <w:tr>
        <w:trPr>
          <w:trHeight w:val="24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7"/>
        </w:trPr>
        <w:tc>
          <w:tcPr>
            <w:tcW w:w="50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8"/>
        </w:trPr>
        <w:tc>
          <w:tcPr>
            <w:tcW w:w="50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lease cost</w:t>
            </w: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1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3,763</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As of June 30, 2024, a weighted average discount rate of 3.13% and 2.24% has been applied to the remaining operating and finance lease payments, respectively, to calculate the lease liabilities included within the condensed consolidated balance sheets. The weighted average remaining lease term of operating and finance leases is 3.6 and 3.8 years, respectively, as of June 30, 2024.</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June 30, 2024, the maturities of lease liabilities under operating and finance leases were as follows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80" w:type="dxa"/>
            <w:vAlign w:val="bottom"/>
          </w:tcPr>
          <w:p>
            <w:pPr>
              <w:spacing w:after="0"/>
              <w:rPr>
                <w:sz w:val="16"/>
                <w:szCs w:val="16"/>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340" w:type="dxa"/>
            <w:vAlign w:val="bottom"/>
          </w:tcPr>
          <w:p>
            <w:pPr>
              <w:spacing w:after="0"/>
              <w:rPr>
                <w:sz w:val="16"/>
                <w:szCs w:val="16"/>
                <w:color w:val="auto"/>
              </w:rPr>
            </w:pPr>
          </w:p>
        </w:tc>
        <w:tc>
          <w:tcPr>
            <w:tcW w:w="114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4220" w:type="dxa"/>
            <w:vAlign w:val="bottom"/>
            <w:tcBorders>
              <w:bottom w:val="single" w:sz="8" w:color="CCEEFF"/>
            </w:tcBorders>
          </w:tcPr>
          <w:p>
            <w:pPr>
              <w:spacing w:after="0"/>
              <w:rPr>
                <w:sz w:val="3"/>
                <w:szCs w:val="3"/>
                <w:color w:val="auto"/>
              </w:rPr>
            </w:pPr>
          </w:p>
        </w:tc>
        <w:tc>
          <w:tcPr>
            <w:tcW w:w="23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2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4,265</w:t>
            </w:r>
          </w:p>
        </w:tc>
        <w:tc>
          <w:tcPr>
            <w:tcW w:w="0" w:type="dxa"/>
            <w:vAlign w:val="bottom"/>
          </w:tcPr>
          <w:p>
            <w:pPr>
              <w:spacing w:after="0"/>
              <w:rPr>
                <w:sz w:val="1"/>
                <w:szCs w:val="1"/>
                <w:color w:val="auto"/>
              </w:rPr>
            </w:pPr>
          </w:p>
        </w:tc>
      </w:tr>
      <w:tr>
        <w:trPr>
          <w:trHeight w:val="243"/>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6,556</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3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6,725</w:t>
            </w:r>
          </w:p>
        </w:tc>
        <w:tc>
          <w:tcPr>
            <w:tcW w:w="0" w:type="dxa"/>
            <w:vAlign w:val="bottom"/>
          </w:tcPr>
          <w:p>
            <w:pPr>
              <w:spacing w:after="0"/>
              <w:rPr>
                <w:sz w:val="1"/>
                <w:szCs w:val="1"/>
                <w:color w:val="auto"/>
              </w:rPr>
            </w:pPr>
          </w:p>
        </w:tc>
      </w:tr>
      <w:tr>
        <w:trPr>
          <w:trHeight w:val="243"/>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5,370</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3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0" w:type="dxa"/>
            <w:vAlign w:val="bottom"/>
          </w:tcPr>
          <w:p>
            <w:pPr>
              <w:spacing w:after="0"/>
              <w:rPr>
                <w:sz w:val="1"/>
                <w:szCs w:val="1"/>
                <w:color w:val="auto"/>
              </w:rPr>
            </w:pPr>
          </w:p>
        </w:tc>
      </w:tr>
      <w:tr>
        <w:trPr>
          <w:trHeight w:val="237"/>
        </w:trPr>
        <w:tc>
          <w:tcPr>
            <w:tcW w:w="4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3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24,197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24,770</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3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0" w:type="dxa"/>
            <w:vAlign w:val="bottom"/>
          </w:tcPr>
          <w:p>
            <w:pPr>
              <w:spacing w:after="0"/>
              <w:rPr>
                <w:sz w:val="1"/>
                <w:szCs w:val="1"/>
                <w:color w:val="auto"/>
              </w:rPr>
            </w:pPr>
          </w:p>
        </w:tc>
      </w:tr>
      <w:tr>
        <w:trPr>
          <w:trHeight w:val="263"/>
        </w:trPr>
        <w:tc>
          <w:tcPr>
            <w:tcW w:w="4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present value of lease liabilities</w:t>
            </w:r>
          </w:p>
        </w:tc>
        <w:tc>
          <w:tcPr>
            <w:tcW w:w="23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22,979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23,529</w:t>
            </w:r>
          </w:p>
        </w:tc>
        <w:tc>
          <w:tcPr>
            <w:tcW w:w="0" w:type="dxa"/>
            <w:vAlign w:val="bottom"/>
          </w:tcPr>
          <w:p>
            <w:pPr>
              <w:spacing w:after="0"/>
              <w:rPr>
                <w:sz w:val="1"/>
                <w:szCs w:val="1"/>
                <w:color w:val="auto"/>
              </w:rPr>
            </w:pPr>
          </w:p>
        </w:tc>
      </w:tr>
      <w:tr>
        <w:trPr>
          <w:trHeight w:val="21"/>
        </w:trPr>
        <w:tc>
          <w:tcPr>
            <w:tcW w:w="4220" w:type="dxa"/>
            <w:vAlign w:val="bottom"/>
          </w:tcPr>
          <w:p>
            <w:pPr>
              <w:spacing w:after="0" w:line="20" w:lineRule="exact"/>
              <w:rPr>
                <w:sz w:val="1"/>
                <w:szCs w:val="1"/>
                <w:color w:val="auto"/>
              </w:rPr>
            </w:pPr>
          </w:p>
        </w:tc>
        <w:tc>
          <w:tcPr>
            <w:tcW w:w="2380" w:type="dxa"/>
            <w:vAlign w:val="bottom"/>
            <w:vMerge w:val="restart"/>
          </w:tcPr>
          <w:p>
            <w:pPr>
              <w:jc w:val="right"/>
              <w:ind w:right="79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22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20" w:type="dxa"/>
            <w:vAlign w:val="bottom"/>
            <w:tcBorders>
              <w:bottom w:val="single" w:sz="8" w:color="9A9A9A"/>
            </w:tcBorders>
          </w:tcPr>
          <w:p>
            <w:pPr>
              <w:spacing w:after="0"/>
              <w:rPr>
                <w:sz w:val="10"/>
                <w:szCs w:val="10"/>
                <w:color w:val="auto"/>
              </w:rPr>
            </w:pPr>
          </w:p>
        </w:tc>
        <w:tc>
          <w:tcPr>
            <w:tcW w:w="23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Acquisition-related Intangible Assets, Net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Acquisition-related Intangible Assets, Net</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Acquisition-related intangible assets, net consisted of the following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5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37"/>
        </w:trPr>
        <w:tc>
          <w:tcPr>
            <w:tcW w:w="66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2"/>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171"/>
        </w:trPr>
        <w:tc>
          <w:tcPr>
            <w:tcW w:w="6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4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90"/>
        </w:trPr>
        <w:tc>
          <w:tcPr>
            <w:tcW w:w="6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Net Carrying Amount</w:t>
            </w:r>
          </w:p>
        </w:tc>
      </w:tr>
      <w:tr>
        <w:trPr>
          <w:trHeight w:val="37"/>
        </w:trPr>
        <w:tc>
          <w:tcPr>
            <w:tcW w:w="66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64"/>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7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5,074</w:t>
            </w:r>
          </w:p>
        </w:tc>
      </w:tr>
      <w:tr>
        <w:trPr>
          <w:trHeight w:val="263"/>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acquisition-related intangible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7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5,074</w:t>
            </w:r>
          </w:p>
        </w:tc>
      </w:tr>
      <w:tr>
        <w:trPr>
          <w:trHeight w:val="20"/>
        </w:trPr>
        <w:tc>
          <w:tcPr>
            <w:tcW w:w="6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429"/>
        </w:trPr>
        <w:tc>
          <w:tcPr>
            <w:tcW w:w="6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7"/>
        </w:trPr>
        <w:tc>
          <w:tcPr>
            <w:tcW w:w="66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2"/>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171"/>
        </w:trPr>
        <w:tc>
          <w:tcPr>
            <w:tcW w:w="6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4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90"/>
        </w:trPr>
        <w:tc>
          <w:tcPr>
            <w:tcW w:w="6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Net Carrying Amount</w:t>
            </w:r>
          </w:p>
        </w:tc>
      </w:tr>
      <w:tr>
        <w:trPr>
          <w:trHeight w:val="37"/>
        </w:trPr>
        <w:tc>
          <w:tcPr>
            <w:tcW w:w="66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5,864</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88"/>
        </w:trPr>
        <w:tc>
          <w:tcPr>
            <w:tcW w:w="66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acquisition-related intangible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8,900</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5,864</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weighted average remaining useful life of developed technology was 3.25 years as of June 30, 2024. Amortization expense related to acquisition-related intangibles was $0.4 million for the three months ended June 30, 2024 and 2023, and $0.8 million and $1.6 million for the six months ended June 30, 2024 and 2023, respectively.</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June 30, 2024, estimated future amortization expense for acquisition-related intangible assets was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w:t>
            </w:r>
          </w:p>
        </w:tc>
      </w:tr>
      <w:tr>
        <w:trPr>
          <w:trHeight w:val="27"/>
        </w:trPr>
        <w:tc>
          <w:tcPr>
            <w:tcW w:w="9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w:t>
            </w:r>
          </w:p>
        </w:tc>
      </w:tr>
      <w:tr>
        <w:trPr>
          <w:trHeight w:val="27"/>
        </w:trPr>
        <w:tc>
          <w:tcPr>
            <w:tcW w:w="976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88"/>
        </w:trPr>
        <w:tc>
          <w:tcPr>
            <w:tcW w:w="9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estimated future amortization expense for acquisition-related intangible assets</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5,074</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Obligations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purchase obligations primarily relate to minimum contractual payments due to data center providers. During the six months ended June 30, 2024, there were no material changes to the Company’s non-cancelable purchase obligations disclosed in the Company’s Annual Report on Form 10-K for the fiscal year ended December 31, 2023.</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June 30, 2024 and December 31, 2023, the Company had two irrevocable letters of credit outstanding related to non-cancelable facilities leases in the amounts of $3.5 million and $0.5 million, with annual automatic renewal and final expiration dates in July 2028 and April 2025,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From time to time, the Company is or may be involved in various claims and other legal matters arising in the normal course of business. The Company records an accrual for a liability relating to claims and other legal matters when it is both probable that a liability has been incurred and the amount of the loss can be reasonably estimated. Any such accruals are reviewed at least quarterly and adjusted for the impacts of negotiations, rulings, settlements, and other information or events pertaining to a particular matter, or on the advice of legal counsel. To date, the Company has not incurred a material loss, or a material loss in excess of a recorded accrual, with respect to any claims and other legal matters arising in the normal course of business. However, the outcomes of claims and other legal matters are inherently unpredictable and subject to significant uncertainties. If the Company subsequently concludes that there is a reasonable possibility that a loss exceeding amounts already recognized may be incurred, and the amount of such additional loss would be material, the Company will either disclose the estimated additional loss or state that such an estimate cannot be made.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the Company enters into contracts and agreements that contain a variety of representations and warranties and provide for general indemnification. The Company’s exposure under these agreements is unknown because it involves future claims that may be made against the Company but have not yet been made. To date, the Company has not paid any material claims or been required to defend any actions related to its indemnification obligations. However, the Company may record charges in the future as a result of these indemnification obligations. In addition, the Company has indemnification agreements with certain of its directors and executive officers that require it, among other things, to indemnify them against certain liabilities that may arise due to their status or service as directors or officers of the Company. The terms of such obligations may vary.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Stockholders’ Equity and Equity Incentive Plans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February 2023, the Company’s board of directors authorized the Company to repurchase up to $75 million of its Class A common stock (“2023 Repurchase Program”). In February 2024, the Company’s board of directors authorized the Company to repurchase up to an additional $100 million of its Class A common stock (“2024 Repurchase Program”) in addition to the $75 million previously authorized under the 2023 Repurchase Program. As of June 30, 2024, $79.9 million remains available for repurchases. Shares are repurchased in a manner deemed in the best interest of the Company and its stockholders, dependent upon business, economic and market conditions, corporate and regulatory requirements, prevailing stock prices and other considerations.</w:t>
      </w:r>
    </w:p>
    <w:p>
      <w:pPr>
        <w:spacing w:after="0" w:line="7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June 30, 2024, the Company repurchased 883,195 and 1,777,846 aggregate shares of Class A common stock for $20.2 million and $35.9 million, respectively.</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Repurchases are executed from time to time, subject to general business and market conditions and other investment opportunities, through open market purchases or privately negotiated transactions, in accordance with Rule 10b-18 and/or Rule 10b5-1 of the Exchange Act. The 2023 Repurchase Program is scheduled to terminate on December 31, 2024, while the 2024 Repurchase Program is scheduled to terminate on December 31, 2025.</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maintains the 2020 Equity Incentive Plan (“2020 Plan”), pursuant to which the Company may grant stock options, restricted stock awards, stock appreciation rights, restricted stock units (“RSUs”), deferred stock units (“DSUs”) performance awards, and stock bonus awards. As of June 30, 2024, the Company has reserved 2,991,005 shares of Class A common stock for the issuance of awards under the 2020 Plan. These available shares will increase automatically on January 1 for each of the first ten calendar years during the term of the 2020 Plan by the number of shares equal to the lesser of five percent (5%) of the aggregate number of outstanding shares of all classes of the Company’s common stock outstanding as of the immediately preceding December 31, or a number as may be determined by the Company’s board of directors or compensation committee. No new awards were issued under the Company’s prior 2006 Plan or 2017 Plan (“Prior Plans”) after the effective date of the 2020 Plan. To the extent outstanding awards under the 2006 Plan and the 2017 Plan are forfeited, expire unexercised, or would otherwise have been returned to the share reserve under the Prior Plans, the shares of Class B common stock subject to such awards instead will be available for future issuance as Class A common stock under the 2020 Plan.</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stock option activity and related information under the Company’s equity incentive plans: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80" w:type="dxa"/>
            <w:vAlign w:val="bottom"/>
            <w:gridSpan w:val="4"/>
          </w:tcPr>
          <w:p>
            <w:pPr>
              <w:ind w:left="980"/>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940" w:type="dxa"/>
            <w:vAlign w:val="bottom"/>
          </w:tcPr>
          <w:p>
            <w:pPr>
              <w:spacing w:after="0"/>
              <w:rPr>
                <w:sz w:val="3"/>
                <w:szCs w:val="3"/>
                <w:color w:val="auto"/>
              </w:rPr>
            </w:pPr>
          </w:p>
        </w:tc>
        <w:tc>
          <w:tcPr>
            <w:tcW w:w="158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4940" w:type="dxa"/>
            <w:vAlign w:val="bottom"/>
          </w:tcPr>
          <w:p>
            <w:pPr>
              <w:spacing w:after="0"/>
              <w:rPr>
                <w:sz w:val="14"/>
                <w:szCs w:val="14"/>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940" w:type="dxa"/>
            <w:vAlign w:val="bottom"/>
          </w:tcPr>
          <w:p>
            <w:pPr>
              <w:spacing w:after="0"/>
              <w:rPr>
                <w:sz w:val="15"/>
                <w:szCs w:val="15"/>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160" w:type="dxa"/>
            <w:vAlign w:val="bottom"/>
          </w:tcPr>
          <w:p>
            <w:pPr>
              <w:spacing w:after="0"/>
              <w:rPr>
                <w:sz w:val="15"/>
                <w:szCs w:val="15"/>
                <w:color w:val="auto"/>
              </w:rPr>
            </w:pPr>
          </w:p>
        </w:tc>
        <w:tc>
          <w:tcPr>
            <w:tcW w:w="14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00" w:type="dxa"/>
            <w:vAlign w:val="bottom"/>
          </w:tcPr>
          <w:p>
            <w:pPr>
              <w:spacing w:after="0"/>
              <w:rPr>
                <w:sz w:val="15"/>
                <w:szCs w:val="15"/>
                <w:color w:val="auto"/>
              </w:rPr>
            </w:pPr>
          </w:p>
        </w:tc>
        <w:tc>
          <w:tcPr>
            <w:tcW w:w="1380" w:type="dxa"/>
            <w:vAlign w:val="bottom"/>
            <w:vMerge w:val="restart"/>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62"/>
        </w:trPr>
        <w:tc>
          <w:tcPr>
            <w:tcW w:w="4940" w:type="dxa"/>
            <w:vAlign w:val="bottom"/>
          </w:tcPr>
          <w:p>
            <w:pPr>
              <w:spacing w:after="0"/>
              <w:rPr>
                <w:sz w:val="14"/>
                <w:szCs w:val="14"/>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16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 Contractual</w:t>
            </w:r>
          </w:p>
        </w:tc>
        <w:tc>
          <w:tcPr>
            <w:tcW w:w="10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4940" w:type="dxa"/>
            <w:vAlign w:val="bottom"/>
          </w:tcPr>
          <w:p>
            <w:pPr>
              <w:spacing w:after="0"/>
              <w:rPr>
                <w:sz w:val="17"/>
                <w:szCs w:val="17"/>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Term (Years)</w:t>
            </w:r>
          </w:p>
        </w:tc>
        <w:tc>
          <w:tcPr>
            <w:tcW w:w="100" w:type="dxa"/>
            <w:vAlign w:val="bottom"/>
          </w:tcPr>
          <w:p>
            <w:pPr>
              <w:spacing w:after="0"/>
              <w:rPr>
                <w:sz w:val="17"/>
                <w:szCs w:val="17"/>
                <w:color w:val="auto"/>
              </w:rPr>
            </w:pPr>
          </w:p>
        </w:tc>
        <w:tc>
          <w:tcPr>
            <w:tcW w:w="138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Value (in thousands)</w:t>
            </w:r>
          </w:p>
        </w:tc>
        <w:tc>
          <w:tcPr>
            <w:tcW w:w="0" w:type="dxa"/>
            <w:vAlign w:val="bottom"/>
          </w:tcPr>
          <w:p>
            <w:pPr>
              <w:spacing w:after="0"/>
              <w:rPr>
                <w:sz w:val="1"/>
                <w:szCs w:val="1"/>
                <w:color w:val="auto"/>
              </w:rPr>
            </w:pPr>
          </w:p>
        </w:tc>
      </w:tr>
      <w:tr>
        <w:trPr>
          <w:trHeight w:val="23"/>
        </w:trPr>
        <w:tc>
          <w:tcPr>
            <w:tcW w:w="49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7,079</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67,418</w:t>
            </w:r>
          </w:p>
        </w:tc>
        <w:tc>
          <w:tcPr>
            <w:tcW w:w="0" w:type="dxa"/>
            <w:vAlign w:val="bottom"/>
          </w:tcPr>
          <w:p>
            <w:pPr>
              <w:spacing w:after="0"/>
              <w:rPr>
                <w:sz w:val="1"/>
                <w:szCs w:val="1"/>
                <w:color w:val="auto"/>
              </w:rPr>
            </w:pPr>
          </w:p>
        </w:tc>
      </w:tr>
      <w:tr>
        <w:trPr>
          <w:trHeight w:val="243"/>
        </w:trPr>
        <w:tc>
          <w:tcPr>
            <w:tcW w:w="4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Options 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Options 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Options canceled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Options expired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w:t>
            </w:r>
          </w:p>
        </w:tc>
        <w:tc>
          <w:tcPr>
            <w:tcW w:w="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as of June 30, 2024</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8,184</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8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92,374</w:t>
            </w:r>
          </w:p>
        </w:tc>
        <w:tc>
          <w:tcPr>
            <w:tcW w:w="0" w:type="dxa"/>
            <w:vAlign w:val="bottom"/>
          </w:tcPr>
          <w:p>
            <w:pPr>
              <w:spacing w:after="0"/>
              <w:rPr>
                <w:sz w:val="1"/>
                <w:szCs w:val="1"/>
                <w:color w:val="auto"/>
              </w:rPr>
            </w:pP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exercisable as of June 30, 2024</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5,685</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8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80,794</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As of June 30, 2024, unrecognized stock-based compensation of $22.7 million related to unvested stock options will be recognized on a straight-line basis over a weighted average period of 2.77 years.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RSU activity and related information under the Company’s 2020 Plan:</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RSUs</w:t>
            </w:r>
          </w:p>
        </w:tc>
        <w:tc>
          <w:tcPr>
            <w:tcW w:w="1340" w:type="dxa"/>
            <w:vAlign w:val="bottom"/>
          </w:tcPr>
          <w:p>
            <w:pPr>
              <w:spacing w:after="0"/>
              <w:rPr>
                <w:sz w:val="16"/>
                <w:szCs w:val="16"/>
                <w:color w:val="auto"/>
              </w:rPr>
            </w:pPr>
          </w:p>
        </w:tc>
      </w:tr>
      <w:tr>
        <w:trPr>
          <w:trHeight w:val="37"/>
        </w:trPr>
        <w:tc>
          <w:tcPr>
            <w:tcW w:w="818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158"/>
        </w:trPr>
        <w:tc>
          <w:tcPr>
            <w:tcW w:w="81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jc w:val="center"/>
              <w:ind w:right="55"/>
              <w:spacing w:after="0" w:line="158" w:lineRule="exact"/>
              <w:rPr>
                <w:sz w:val="20"/>
                <w:szCs w:val="20"/>
                <w:color w:val="auto"/>
              </w:rPr>
            </w:pPr>
            <w:r>
              <w:rPr>
                <w:rFonts w:ascii="Times New Roman" w:cs="Times New Roman" w:eastAsia="Times New Roman" w:hAnsi="Times New Roman"/>
                <w:sz w:val="14"/>
                <w:szCs w:val="14"/>
                <w:b w:val="1"/>
                <w:bCs w:val="1"/>
                <w:color w:val="auto"/>
                <w:w w:val="99"/>
              </w:rPr>
              <w:t>Weighted-Average</w:t>
            </w:r>
          </w:p>
        </w:tc>
      </w:tr>
      <w:tr>
        <w:trPr>
          <w:trHeight w:val="162"/>
        </w:trPr>
        <w:tc>
          <w:tcPr>
            <w:tcW w:w="818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r>
      <w:tr>
        <w:trPr>
          <w:trHeight w:val="204"/>
        </w:trPr>
        <w:tc>
          <w:tcPr>
            <w:tcW w:w="818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7"/>
                <w:szCs w:val="17"/>
                <w:color w:val="auto"/>
              </w:rPr>
            </w:pPr>
          </w:p>
        </w:tc>
        <w:tc>
          <w:tcPr>
            <w:tcW w:w="134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37"/>
        </w:trPr>
        <w:tc>
          <w:tcPr>
            <w:tcW w:w="818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December 31, 2023</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w:t>
            </w:r>
          </w:p>
        </w:tc>
      </w:tr>
      <w:tr>
        <w:trPr>
          <w:trHeight w:val="243"/>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w:t>
            </w:r>
          </w:p>
        </w:tc>
      </w:tr>
      <w:tr>
        <w:trPr>
          <w:trHeight w:val="243"/>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Canceled or forfeited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w:t>
            </w:r>
          </w:p>
        </w:tc>
      </w:tr>
      <w:tr>
        <w:trPr>
          <w:trHeight w:val="27"/>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8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June 30, 2024</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4,331</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June 30, 2024, unrecognized stock-based compensation of $70.4 million related to unvested RSUs will be recognized on a straight-line basis over a weighted average period of 2.80 years.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Employee Stock Purchase Plan</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November 2020, the Company’s board of directors adopted, and its stockholders approved, the 2020 Employee Stock Purchase Plan (“ESPP”).</w:t>
      </w:r>
    </w:p>
    <w:p>
      <w:pPr>
        <w:spacing w:after="0" w:line="11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aggregate number of shares reserved for issuance under the ESPP increases automatically on January 1st of each of the first ten calendar years during the term of the ESPP by the number of shares equal to the lesser of (a) 1% of the total outstanding shares of all classes of the Company’s common stock as of the immediately preceding December 31, and (b) such number of shares of common stock as determined by the Company’s board of directors. The aggregate number of shares issued over the term of the ESPP may not exceed 7,500,000 shares of Class A common stock. As of June 30, 2024, the Company had reserved 1,847,439 shares of its Class A common stock for issuance under the ESPP.</w:t>
      </w:r>
    </w:p>
    <w:p>
      <w:pPr>
        <w:spacing w:after="0" w:line="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Under the ESPP, Class A common stock will be purchased for the accounts of employees participating in the ESPP on each purchase date at a price per share equal to 85% of the lesser of: (a) the fair market value on the offering date or (b) the fair market value on the purchase date. The ESPP provides for, at maximum, 27 month offering periods and each offering period may consist of one or more six-month purchase periods, whereby the latest offering period commenced on June 1, 2022, and the offering periods thereafter consist of two six-month purchase periods ending May 31, 2023. As of June 30, 2024, $0.2 million has been withheld on behalf of employees for a future purchase under the ESPP due to the timing of payroll deductions and is included in accrued liabilities. For the six months ended June 30, 2024 and 2023, 102,145 and 65,092 shares of our Class A common stock were purchased under the ESPP, respectively.</w:t>
      </w:r>
    </w:p>
    <w:p>
      <w:pPr>
        <w:spacing w:after="0" w:line="8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June 30, 2024, unrecognized stock-based compensation expense related to the ESPP was $1.2 million, which is expected to be recognized over a weighted-average period of 0.92 years.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stock-based compensation expense recognized in the condensed consolidated statements of operations was as follows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24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00" w:type="dxa"/>
            <w:vAlign w:val="bottom"/>
            <w:gridSpan w:val="4"/>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37"/>
        </w:trPr>
        <w:tc>
          <w:tcPr>
            <w:tcW w:w="506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50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506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r>
      <w:tr>
        <w:trPr>
          <w:trHeight w:val="24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9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w:t>
            </w:r>
          </w:p>
        </w:tc>
      </w:tr>
      <w:tr>
        <w:trPr>
          <w:trHeight w:val="27"/>
        </w:trPr>
        <w:tc>
          <w:tcPr>
            <w:tcW w:w="50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3,472</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5,323</w:t>
            </w:r>
          </w:p>
        </w:tc>
      </w:tr>
      <w:tr>
        <w:trPr>
          <w:trHeight w:val="24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4,089</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6,203</w:t>
            </w:r>
          </w:p>
        </w:tc>
      </w:tr>
      <w:tr>
        <w:trPr>
          <w:trHeight w:val="27"/>
        </w:trPr>
        <w:tc>
          <w:tcPr>
            <w:tcW w:w="50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0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9,699</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7,266</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14,325</w:t>
            </w:r>
          </w:p>
        </w:tc>
      </w:tr>
      <w:tr>
        <w:trPr>
          <w:trHeight w:val="24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benefit from stock-based compensation</w:t>
            </w:r>
          </w:p>
        </w:tc>
        <w:tc>
          <w:tcPr>
            <w:tcW w:w="9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(1,999)</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(1,390)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(2,708)</w:t>
            </w:r>
          </w:p>
        </w:tc>
      </w:tr>
      <w:tr>
        <w:trPr>
          <w:trHeight w:val="27"/>
        </w:trPr>
        <w:tc>
          <w:tcPr>
            <w:tcW w:w="50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8"/>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 net of tax effect</w:t>
            </w: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7,700</w:t>
            </w:r>
          </w:p>
        </w:tc>
        <w:tc>
          <w:tcPr>
            <w:tcW w:w="1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5,876</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14,925</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11,617</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Net Income (Loss) Per Share</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has two classes of common stock, Class A and Class B. Basic and diluted earnings per share (“EPS”) attributable to common stockholders for Class A and Class B common stock were the same because they were entitled to the same liquidation and dividend rights.</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computation of the Company’s basic and diluted net income (loss) per share (in thousands, except per share data):</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24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80" w:type="dxa"/>
            <w:vAlign w:val="bottom"/>
            <w:gridSpan w:val="4"/>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37"/>
        </w:trPr>
        <w:tc>
          <w:tcPr>
            <w:tcW w:w="512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6"/>
        </w:trPr>
        <w:tc>
          <w:tcPr>
            <w:tcW w:w="5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512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30"/>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8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88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100" w:type="dxa"/>
            <w:vAlign w:val="bottom"/>
          </w:tcPr>
          <w:p>
            <w:pPr>
              <w:spacing w:after="0"/>
              <w:rPr>
                <w:sz w:val="21"/>
                <w:szCs w:val="21"/>
                <w:color w:val="auto"/>
              </w:rPr>
            </w:pPr>
          </w:p>
        </w:tc>
        <w:tc>
          <w:tcPr>
            <w:tcW w:w="88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(5,724)</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(483)</w:t>
            </w:r>
          </w:p>
        </w:tc>
        <w:tc>
          <w:tcPr>
            <w:tcW w:w="80" w:type="dxa"/>
            <w:vAlign w:val="bottom"/>
          </w:tcPr>
          <w:p>
            <w:pPr>
              <w:spacing w:after="0"/>
              <w:rPr>
                <w:sz w:val="21"/>
                <w:szCs w:val="21"/>
                <w:color w:val="auto"/>
              </w:rPr>
            </w:pPr>
          </w:p>
        </w:tc>
        <w:tc>
          <w:tcPr>
            <w:tcW w:w="36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(11,595)</w:t>
            </w: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17"/>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8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r>
      <w:tr>
        <w:trPr>
          <w:trHeight w:val="243"/>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8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49,780</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52,029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49,910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52,383</w:t>
            </w:r>
          </w:p>
        </w:tc>
      </w:tr>
      <w:tr>
        <w:trPr>
          <w:trHeight w:val="27"/>
        </w:trPr>
        <w:tc>
          <w:tcPr>
            <w:tcW w:w="5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8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3,980</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3"/>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stock</w:t>
            </w:r>
          </w:p>
        </w:tc>
        <w:tc>
          <w:tcPr>
            <w:tcW w:w="8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7"/>
        </w:trPr>
        <w:tc>
          <w:tcPr>
            <w:tcW w:w="5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Employee stock purchase plan shares</w:t>
            </w:r>
          </w:p>
        </w:tc>
        <w:tc>
          <w:tcPr>
            <w:tcW w:w="8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64"/>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880" w:type="dxa"/>
            <w:vAlign w:val="bottom"/>
            <w:tcBorders>
              <w:top w:val="single" w:sz="8" w:color="auto"/>
              <w:bottom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55,577</w:t>
            </w:r>
          </w:p>
        </w:tc>
        <w:tc>
          <w:tcPr>
            <w:tcW w:w="100" w:type="dxa"/>
            <w:vAlign w:val="bottom"/>
          </w:tcPr>
          <w:p>
            <w:pPr>
              <w:spacing w:after="0"/>
              <w:rPr>
                <w:sz w:val="22"/>
                <w:szCs w:val="22"/>
                <w:color w:val="auto"/>
              </w:rPr>
            </w:pPr>
          </w:p>
        </w:tc>
        <w:tc>
          <w:tcPr>
            <w:tcW w:w="88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52,029</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49,910</w:t>
            </w:r>
          </w:p>
        </w:tc>
        <w:tc>
          <w:tcPr>
            <w:tcW w:w="8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52,383</w:t>
            </w: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89"/>
        </w:trPr>
        <w:tc>
          <w:tcPr>
            <w:tcW w:w="51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 (loss) per share – diluted</w:t>
            </w: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(0.22)</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weighted-average outstanding shares of common stock equivalents were excluded from the computation of diluted net loss per share attributable to common stockholders for the periods presented because including them would have been anti-dilutive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2540" w:type="dxa"/>
            <w:vAlign w:val="bottom"/>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60" w:type="dxa"/>
            <w:vAlign w:val="bottom"/>
            <w:gridSpan w:val="3"/>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37"/>
        </w:trPr>
        <w:tc>
          <w:tcPr>
            <w:tcW w:w="506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3"/>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040" w:type="dxa"/>
            <w:vAlign w:val="bottom"/>
            <w:gridSpan w:val="2"/>
          </w:tcPr>
          <w:p>
            <w:pPr>
              <w:ind w:left="56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5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8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506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25"/>
        </w:trPr>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Options to purchase common stock</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2,555</w:t>
            </w:r>
          </w:p>
        </w:tc>
        <w:tc>
          <w:tcPr>
            <w:tcW w:w="1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2,239</w:t>
            </w:r>
          </w:p>
        </w:tc>
        <w:tc>
          <w:tcPr>
            <w:tcW w:w="8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2,950</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2,066</w:t>
            </w:r>
          </w:p>
        </w:tc>
        <w:tc>
          <w:tcPr>
            <w:tcW w:w="0" w:type="dxa"/>
            <w:vAlign w:val="bottom"/>
          </w:tcPr>
          <w:p>
            <w:pPr>
              <w:spacing w:after="0"/>
              <w:rPr>
                <w:sz w:val="1"/>
                <w:szCs w:val="1"/>
                <w:color w:val="auto"/>
              </w:rPr>
            </w:pPr>
          </w:p>
        </w:tc>
      </w:tr>
      <w:tr>
        <w:trPr>
          <w:trHeight w:val="227"/>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Unvested restricted stock units</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890</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1,671</w:t>
            </w:r>
          </w:p>
        </w:tc>
        <w:tc>
          <w:tcPr>
            <w:tcW w:w="0" w:type="dxa"/>
            <w:vAlign w:val="bottom"/>
          </w:tcPr>
          <w:p>
            <w:pPr>
              <w:spacing w:after="0"/>
              <w:rPr>
                <w:sz w:val="1"/>
                <w:szCs w:val="1"/>
                <w:color w:val="auto"/>
              </w:rPr>
            </w:pPr>
          </w:p>
        </w:tc>
      </w:tr>
      <w:tr>
        <w:trPr>
          <w:trHeight w:val="29"/>
        </w:trPr>
        <w:tc>
          <w:tcPr>
            <w:tcW w:w="50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ESPP</w:t>
            </w:r>
          </w:p>
        </w:tc>
        <w:tc>
          <w:tcPr>
            <w:tcW w:w="9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gridSpan w:val="3"/>
            <w:shd w:val="clear" w:color="auto" w:fill="CCEEFF"/>
          </w:tcPr>
          <w:p>
            <w:pPr>
              <w:jc w:val="right"/>
              <w:ind w:right="108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8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0" w:type="dxa"/>
            <w:vAlign w:val="bottom"/>
          </w:tcPr>
          <w:p>
            <w:pPr>
              <w:spacing w:after="0"/>
              <w:rPr>
                <w:sz w:val="1"/>
                <w:szCs w:val="1"/>
                <w:color w:val="auto"/>
              </w:rPr>
            </w:pPr>
          </w:p>
        </w:tc>
      </w:tr>
      <w:tr>
        <w:trPr>
          <w:trHeight w:val="313"/>
        </w:trPr>
        <w:tc>
          <w:tcPr>
            <w:tcW w:w="5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common stock equivalents excluded from net loss per share</w:t>
            </w:r>
          </w:p>
        </w:tc>
        <w:tc>
          <w:tcPr>
            <w:tcW w:w="9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2,586</w:t>
            </w:r>
          </w:p>
        </w:tc>
        <w:tc>
          <w:tcPr>
            <w:tcW w:w="10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3,187</w:t>
            </w:r>
          </w:p>
        </w:tc>
        <w:tc>
          <w:tcPr>
            <w:tcW w:w="80" w:type="dxa"/>
            <w:vAlign w:val="bottom"/>
          </w:tcPr>
          <w:p>
            <w:pPr>
              <w:spacing w:after="0"/>
              <w:rPr>
                <w:sz w:val="24"/>
                <w:szCs w:val="24"/>
                <w:color w:val="auto"/>
              </w:rPr>
            </w:pPr>
          </w:p>
        </w:tc>
        <w:tc>
          <w:tcPr>
            <w:tcW w:w="14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2,969</w:t>
            </w:r>
          </w:p>
        </w:tc>
        <w:tc>
          <w:tcPr>
            <w:tcW w:w="100" w:type="dxa"/>
            <w:vAlign w:val="bottom"/>
          </w:tcPr>
          <w:p>
            <w:pPr>
              <w:spacing w:after="0"/>
              <w:rPr>
                <w:sz w:val="24"/>
                <w:szCs w:val="24"/>
                <w:color w:val="auto"/>
              </w:rPr>
            </w:pPr>
          </w:p>
        </w:tc>
        <w:tc>
          <w:tcPr>
            <w:tcW w:w="14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3,812</w:t>
            </w:r>
          </w:p>
        </w:tc>
        <w:tc>
          <w:tcPr>
            <w:tcW w:w="0" w:type="dxa"/>
            <w:vAlign w:val="bottom"/>
          </w:tcPr>
          <w:p>
            <w:pPr>
              <w:spacing w:after="0"/>
              <w:rPr>
                <w:sz w:val="1"/>
                <w:szCs w:val="1"/>
                <w:color w:val="auto"/>
              </w:rPr>
            </w:pPr>
          </w:p>
        </w:tc>
      </w:tr>
      <w:tr>
        <w:trPr>
          <w:trHeight w:val="234"/>
        </w:trPr>
        <w:tc>
          <w:tcPr>
            <w:tcW w:w="60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diluted</w:t>
            </w:r>
          </w:p>
        </w:tc>
        <w:tc>
          <w:tcPr>
            <w:tcW w:w="4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Income Taxes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has historically calculated the provision for income taxes during interim reporting periods by applying an estimate of the annual effective tax rate ("AETR") for the full fiscal year to “ordinary” income or loss (pretax income or loss excluding unusual or infrequently occurring discrete items) for the reporting period. The discrete effective tax rate method has been used to calculate taxes for the fiscal six months ended June 30, 2024. The Company has determined that since small changes in estimated “ordinary” income would result in significant changes in the estimated AETR, the historical method would not provide a reliable estimate for the fiscal six months ended June 30, 2024.</w:t>
      </w:r>
    </w:p>
    <w:p>
      <w:pPr>
        <w:spacing w:after="0" w:line="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recorded a provision for income taxes of $0.4 million and $0.5 million for the three months ended June 30, 2024 and 2023, respectively, and a provision for income taxes of $0.2 million and income tax benefit $2.8 million for the six months ended June 30, 2024 and 2023, respectively.</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effective income tax rate was 17% and (11)% for the three months ended June 30, 2024 and 2023, respectively, and (51)% and 20% for the six months ended June 30, 2024 and 2023, respectively. The provision for income taxes for the six months ended June 30, 2024 is related to tax benefits from foreign-derived intangible income (FDII), research tax credits, and deductions for equity awards, partially offset by nondeductible stock-based compensation and Section 162(m) limitation on the tax deductibility of officers’ compensation.</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Realization of the Company’s deferred tax assets is dependent primarily on the generation of future taxable income. In considering the need for a valuation allowance, the Company considers its historical, as well as future projected, taxable income along with other objectively verifiable evidence. Objectively verifiable evidence includes the Company’s realization of tax attributes, assessment of tax credits, and utilization of net operating loss carryforwards during the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Segment Information</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total revenue by geographic area based on the publisher’s billing address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24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37"/>
        </w:trPr>
        <w:tc>
          <w:tcPr>
            <w:tcW w:w="504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50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504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39,884</w:t>
            </w: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37,891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70,531</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20,334</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19,815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37,659</w:t>
            </w:r>
          </w:p>
        </w:tc>
      </w:tr>
      <w:tr>
        <w:trPr>
          <w:trHeight w:val="27"/>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APAC</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5,834</w:t>
            </w: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8,462</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 of the world</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w:t>
            </w:r>
          </w:p>
        </w:tc>
      </w:tr>
      <w:tr>
        <w:trPr>
          <w:trHeight w:val="27"/>
        </w:trPr>
        <w:tc>
          <w:tcPr>
            <w:tcW w:w="50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8"/>
        </w:trPr>
        <w:tc>
          <w:tcPr>
            <w:tcW w:w="5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67,267</w:t>
            </w:r>
          </w:p>
        </w:tc>
        <w:tc>
          <w:tcPr>
            <w:tcW w:w="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63,330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133,968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118,737</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long-lived assets, net, which consist primarily of property and equipment and operating lease right-of-use assets, by geographic area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5"/>
                <w:szCs w:val="15"/>
                <w:color w:val="auto"/>
              </w:rPr>
            </w:pPr>
          </w:p>
        </w:tc>
        <w:tc>
          <w:tcPr>
            <w:tcW w:w="126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1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44"/>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68,299</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 of the world</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13,532</w:t>
            </w:r>
          </w:p>
        </w:tc>
      </w:tr>
      <w:tr>
        <w:trPr>
          <w:trHeight w:val="27"/>
        </w:trPr>
        <w:tc>
          <w:tcPr>
            <w:tcW w:w="8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9"/>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82,052</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81,831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401(k) Plan</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a 401(k) Savings Plan (the “401(k) Plan”) that qualifies as a deferred salary arrangement under Section 401(k) of the Internal Revenue Code. Under the 401(k) Plan, participating employees may elect to contribute up to 100% of their eligible compensation, subject to certain limitations. The 401(k) Plan provides for a discretionary employer matching contribution. The Company made $0.9 million and $0.7 million in matching contributions to the 401(k) Plan for the six months ended June 30, 2024 and 2023,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Subsequent Event</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July 2024, the Company entered into an agreement to continue to lease approximately 60,000 square feet of office space located in New York City, New York. The Company will use the space to support its general and administrative functions, sales and marketing, technology and development, engineering and customer support. The lease will commence upon the termination of the current sublease.</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Pursuant to the lease agreement, the lease term will commence on February 1, 2025 and will terminate on January 31, 2036. The annual lease payments during the first year are approximately $3.7 million, escalating after year six. Rent expense will be recorded on a straight-line basis over the sublease term. The Company has provided an irrevocable letter of credit in the amount of approximately $1.5 million, pursuant to the terms of the lease.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ind w:firstLine="324"/>
        <w:spacing w:after="0" w:line="247"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within the meaning of Section 27A of the Securities Act of 1933, as amended, and Section 21E of the Securities Exchange Act of 1934, as amended. These forward-looking statements generally are identified by the words “believe,” “may,” “will,” “potentially,” “estimate,” “continue,” “anticipate,” “intend,” “could,” “would,” “project,” “plan,” “expect,” and similar expressions. Examples of forward-looking statements include, but are not limited to, statements we make regarding our ability to maintain our growth and profitability, our ability to attract and retain publishers, and our expectations concerning the advertising industry.</w:t>
      </w:r>
    </w:p>
    <w:p>
      <w:pPr>
        <w:spacing w:after="0" w:line="8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These forward-looking statements are subject to a number of risks, uncertainties and assumptions, including those described in “Risk Factors” and elsewhere in this Quarterly Report on Form 10-Q.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on Form 10-Q may not occur and actual results could differ materially and adversely from those anticipated or implied in the forward-looking statements.</w:t>
      </w:r>
    </w:p>
    <w:p>
      <w:pPr>
        <w:spacing w:after="0" w:line="74"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7"/>
          <w:szCs w:val="17"/>
          <w:i w:val="1"/>
          <w:iCs w:val="1"/>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Quarterly Report on Form 10-Q to conform these statements to actual results or to changes in our expectations, except as required by law.</w:t>
      </w:r>
    </w:p>
    <w:p>
      <w:pPr>
        <w:spacing w:after="0" w:line="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should be read in conjunction with the unaudited condensed consolidated financial statements and the related notes thereto included elsewhere in this Quarterly Report on Form 10-Q, and the audited consolidated financial statements and notes thereto and management’s discussion and analysis of financial condition and results of operations for the fiscal year ended December 31, 2023 included in our Annual Report on Form 10-K filed with the U.S. Securities and Exchange Commission (the “SEC”).</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an independent technology company seeking to maximize customer value by delivering digital advertising’s supply chain of the future.</w:t>
      </w:r>
    </w:p>
    <w:p>
      <w:pPr>
        <w:spacing w:after="0" w:line="11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technology platform empowers the world’s leading digital content creators (which we refer to as “publishers”) across the open internet to maximize monetization of their advertising inventory. Our platform also provides control and transparency to buyers, which includes advertisers, agencies, agency trading desks, and demand side platforms (“DSPs”), (which we collectively refer to as “buyers”) and enables both publishers and buyers to drive better business outcomes. Our infrastructure-driven approach allows for the efficient processing and utilization of data in real time. By delivering scalable and flexible programmatic innovation, we believe we improve outcomes for our customers while championing a vibrant and transparent digital advertising supply chain.</w:t>
      </w:r>
    </w:p>
    <w:p>
      <w:pPr>
        <w:spacing w:after="0" w:line="7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continue to focus on the strengths that we believe provide us with long-term competitive advantages. These strengths include our global, omnichannel reach which targets a diverse set of publishers touching many ad formats and digital device types, including mobile app, mobile web, desktop, display, video, over-the-top video/connected TV (“OTT/CTV”), and rich media. Additionally, as an independent infrastructure provider prioritizing transparency, we can be more closely aligned with both publishers and buyers which has enabled us to build direct relationships with publishers, advertisers, agencies, and DSPs and create bespoke products that meet our customers’ needs. We have also maintained a demonstrated track record of stability and agility to address these market conditions and provide superior outcomes for both publishers and buyers. Finally, we have designed our technology to efficiently process real-time advertising transactions while leveraging data to optimize outcomes for publishers and buyers. We own and operate our software and hardware infrastructure globally, which saves significant infrastructure expenditures as compared to public cloud alternatives.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Trends and Macroeconomic Factors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digital advertising ecosystem continues to evolve and adapt at a rapid pace. Some noted trends include the continued growth of digital media across multiple platforms, a continued increase in the number of ad impressions processed and analyzed in real-time by each participant in the digital advertising ecosystem, and a desire for transparency and control throughout the supply chain from both the buyers and publishers. Additionally, rapidly evolving data and privacy regulations and industry standards continue to impact our business. For example, in July 2024, Google announced it will no longer deprecate its use of third-party cookies in Chrome and instead ask users to opt-in or opt-out of cookies in Chrome, which may impact the industry’s anticipated shift to alternative identity solutions.</w:t>
      </w:r>
    </w:p>
    <w:p>
      <w:pPr>
        <w:spacing w:after="0" w:line="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Additionally, recent interest rate increases, foreign currency fluctuation and persistent inflation in the U.S. and other markets globally continue to create economic volatility and dislocation in the capital and credit markets in the U.S. and globally. To date, we have not observed material impacts in our business or outlook, but we intend to continue to monitor macroeconomic conditions closely and may determine to take certain financial or operational actions in response to such conditions to the extent our business begins to be adversely impacted.</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believe we are positioned to benefit from tailwinds in the advertising industry, including the rapid proliferation of digital media, the need for purpose-built infrastructure to address the increasing complexity in the digital advertising landscape, and increasing consumer time spent online.</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See “Risk Factors” in this report and in our Annual Report on Form 10-K for the year ended December 31, 2023 for further discussion of the risks related to inflation, rising interest rates, foreign currency fluctuations and public health crises on our business.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Highlights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summarizes the financial highlights of our business performance:</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8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00" w:type="dxa"/>
            <w:vAlign w:val="bottom"/>
          </w:tcPr>
          <w:p>
            <w:pPr>
              <w:spacing w:after="0"/>
              <w:rPr>
                <w:sz w:val="16"/>
                <w:szCs w:val="16"/>
                <w:color w:val="auto"/>
              </w:rPr>
            </w:pPr>
          </w:p>
        </w:tc>
        <w:tc>
          <w:tcPr>
            <w:tcW w:w="2560" w:type="dxa"/>
            <w:vAlign w:val="bottom"/>
            <w:gridSpan w:val="4"/>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37"/>
        </w:trPr>
        <w:tc>
          <w:tcPr>
            <w:tcW w:w="504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5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504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27"/>
        </w:trPr>
        <w:tc>
          <w:tcPr>
            <w:tcW w:w="5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20" w:type="dxa"/>
            <w:vAlign w:val="bottom"/>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7"/>
        </w:trPr>
        <w:tc>
          <w:tcPr>
            <w:tcW w:w="50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67,267</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63,330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118,737</w:t>
            </w:r>
          </w:p>
        </w:tc>
      </w:tr>
      <w:tr>
        <w:trPr>
          <w:trHeight w:val="27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r>
              <w:rPr>
                <w:rFonts w:ascii="Times New Roman" w:cs="Times New Roman" w:eastAsia="Times New Roman" w:hAnsi="Times New Roman"/>
                <w:sz w:val="23"/>
                <w:szCs w:val="23"/>
                <w:color w:val="auto"/>
                <w:vertAlign w:val="superscript"/>
              </w:rPr>
              <w:t>(2)</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(3,985)</w:t>
            </w:r>
          </w:p>
        </w:tc>
        <w:tc>
          <w:tcPr>
            <w:tcW w:w="8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(7,134)</w:t>
            </w:r>
          </w:p>
        </w:tc>
        <w:tc>
          <w:tcPr>
            <w:tcW w:w="100" w:type="dxa"/>
            <w:vAlign w:val="bottom"/>
          </w:tcPr>
          <w:p>
            <w:pPr>
              <w:spacing w:after="0"/>
              <w:rPr>
                <w:sz w:val="23"/>
                <w:szCs w:val="23"/>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(9,510)</w:t>
            </w:r>
          </w:p>
        </w:tc>
        <w:tc>
          <w:tcPr>
            <w:tcW w:w="100" w:type="dxa"/>
            <w:vAlign w:val="bottom"/>
          </w:tcPr>
          <w:p>
            <w:pPr>
              <w:spacing w:after="0"/>
              <w:rPr>
                <w:sz w:val="23"/>
                <w:szCs w:val="23"/>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(17,806)</w:t>
            </w:r>
          </w:p>
        </w:tc>
      </w:tr>
      <w:tr>
        <w:trPr>
          <w:trHeight w:val="27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r>
              <w:rPr>
                <w:rFonts w:ascii="Times New Roman" w:cs="Times New Roman" w:eastAsia="Times New Roman" w:hAnsi="Times New Roman"/>
                <w:sz w:val="23"/>
                <w:szCs w:val="23"/>
                <w:color w:val="auto"/>
                <w:vertAlign w:val="superscript"/>
              </w:rPr>
              <w:t>(2)</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(5,724)</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(11,595)</w:t>
            </w:r>
          </w:p>
        </w:tc>
      </w:tr>
      <w:tr>
        <w:trPr>
          <w:trHeight w:val="270"/>
        </w:trPr>
        <w:tc>
          <w:tcPr>
            <w:tcW w:w="5040" w:type="dxa"/>
            <w:vAlign w:val="bottom"/>
          </w:tcPr>
          <w:p>
            <w:pPr>
              <w:ind w:left="20"/>
              <w:spacing w:after="0" w:line="270"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8"/>
                <w:szCs w:val="28"/>
                <w:color w:val="auto"/>
                <w:vertAlign w:val="superscript"/>
              </w:rPr>
              <w:t>(1)(2)</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21,078</w:t>
            </w:r>
          </w:p>
        </w:tc>
        <w:tc>
          <w:tcPr>
            <w:tcW w:w="8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10,809</w:t>
            </w:r>
          </w:p>
        </w:tc>
        <w:tc>
          <w:tcPr>
            <w:tcW w:w="100" w:type="dxa"/>
            <w:vAlign w:val="bottom"/>
          </w:tcPr>
          <w:p>
            <w:pPr>
              <w:spacing w:after="0"/>
              <w:rPr>
                <w:sz w:val="23"/>
                <w:szCs w:val="23"/>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36,134</w:t>
            </w:r>
          </w:p>
        </w:tc>
        <w:tc>
          <w:tcPr>
            <w:tcW w:w="100" w:type="dxa"/>
            <w:vAlign w:val="bottom"/>
          </w:tcPr>
          <w:p>
            <w:pPr>
              <w:spacing w:after="0"/>
              <w:rPr>
                <w:sz w:val="23"/>
                <w:szCs w:val="23"/>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18,163</w:t>
            </w:r>
          </w:p>
        </w:tc>
      </w:tr>
      <w:tr>
        <w:trPr>
          <w:trHeight w:val="37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r>
              <w:rPr>
                <w:rFonts w:ascii="Times New Roman" w:cs="Times New Roman" w:eastAsia="Times New Roman" w:hAnsi="Times New Roman"/>
                <w:sz w:val="23"/>
                <w:szCs w:val="23"/>
                <w:color w:val="auto"/>
                <w:vertAlign w:val="superscript"/>
              </w:rPr>
              <w:t>(2)</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11,944</w:t>
            </w: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15,848</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36,238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28,602</w:t>
            </w:r>
          </w:p>
        </w:tc>
      </w:tr>
      <w:tr>
        <w:trPr>
          <w:trHeight w:val="260"/>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w:t>
            </w: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bl>
    <w:p>
      <w:pPr>
        <w:spacing w:after="0" w:line="91" w:lineRule="exact"/>
        <w:rPr>
          <w:sz w:val="20"/>
          <w:szCs w:val="20"/>
          <w:color w:val="auto"/>
        </w:rPr>
      </w:pPr>
    </w:p>
    <w:p>
      <w:pPr>
        <w:ind w:left="660" w:hanging="328"/>
        <w:spacing w:after="0" w:line="267" w:lineRule="auto"/>
        <w:tabs>
          <w:tab w:leader="none" w:pos="6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a definition of Adjusted EBITDA, an explanation of our management’s use of this measure, and a reconciliation of Adjusted EBITDA to net income, see “Non-GAAP Financial Measure.”</w:t>
      </w:r>
    </w:p>
    <w:p>
      <w:pPr>
        <w:ind w:left="660" w:hanging="328"/>
        <w:spacing w:after="0" w:line="275" w:lineRule="auto"/>
        <w:tabs>
          <w:tab w:leader="none" w:pos="6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for the three and six months ended June 30, 2023 include a provision for bad debt of $5.7 million relating to a Demand Side Platform (“DSP”) buyer of our platform that filed for Chapter 11 bankruptcy.</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 and Performance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believe our growth and financial performance are dependent on many factors, including those described below.</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Attract New Customers and Expand our Relationship with Existing Customers Globally</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leverage our extensive platform capabilities and the subject matter expertise of our team members to grow revenue from our publishers and increase advertising spending from our buyers. Our sales and marketing team includes customer success pods to enhance customer knowledge and implementation of best practices. Once we onboard a new customer, we seek to expand our relationship with existing publishers by establishing multiple header bidding integrations by leveraging our omnichannel capabilities to maximize our access to publishers’ ad formats and devices, and expanding into the various properties that a publisher may own around the world. We may also up-sell additional products to publisher customers including our header bidding management, identity, and audience solutions. We automate workflow processes whenever feasible to drive predictable and value-added outcomes for our customers and increase productivity of our organization.</w:t>
      </w:r>
    </w:p>
    <w:p>
      <w:pPr>
        <w:spacing w:after="0" w:line="8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Net dollar-based retention rate is an important indicator of publisher satisfaction and usage of our platform, as well as potential revenue for future periods. We calculate our net dollar-based retention rate at the end of each quarter for a cumulative twelve months. We calculate our net dollar-based retention rate by starting with the revenue from publishers in the prior trailing twelve-month period (“Prior Period Revenue”). We then calculate the revenue from these same publishers in the current trailing twelve-month period (“Current Period Revenue”). Current Period Revenue includes any upsells and is net of contraction or attrition, but excludes revenue from new publishers.</w:t>
      </w:r>
    </w:p>
    <w:p>
      <w:pPr>
        <w:spacing w:after="0" w:line="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net dollar-based retention rate equals the Current Period Revenue divided by Prior Period Revenue. Our net dollar-based retention rate was 108% for the trailing twelve months ended June 30, 2024 and 100% for the trailing twelve months ended June 30, 2023. Our revenue growth in the period ended June 30, 2024 and 2023 was primarily attributable to an increase in the number of ad impressions processed from our publishers, upselling additional products, penetration of header bidding for mobile app and digital video, and increased demand from the growth of our buyer relationships primarily through SPO agreements.</w:t>
      </w:r>
    </w:p>
    <w:p>
      <w:pPr>
        <w:spacing w:after="0" w:line="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Further, we work with DSPs to help them reduce their costs and improve advertiser ROI, which in turn makes us the specialized cloud infrastructure platform of choice for many of our buying partners. We depend upon a limited number of large DSPs for a large percentage of impressions purchased and our business results, including revenues, may be impacted by changes in their pricing strategies, bidding algorithms or go-to market efforts. As buyers increasingly consolidate their spending with fewer larger technology platforms, we seek to bring an increased proportion of their digital ad spending to our platform through direct deals. </w:t>
      </w:r>
      <w:r>
        <w:rPr>
          <w:rFonts w:ascii="Times New Roman" w:cs="Times New Roman" w:eastAsia="Times New Roman" w:hAnsi="Times New Roman"/>
          <w:sz w:val="19"/>
          <w:szCs w:val="19"/>
          <w:color w:val="auto"/>
        </w:rPr>
        <w:t>S</w:t>
      </w:r>
      <w:r>
        <w:rPr>
          <w:rFonts w:ascii="Times New Roman" w:cs="Times New Roman" w:eastAsia="Times New Roman" w:hAnsi="Times New Roman"/>
          <w:sz w:val="18"/>
          <w:szCs w:val="18"/>
          <w:color w:val="auto"/>
        </w:rPr>
        <w:t>upply Path Optimization (“SPO”) continues to be a major growth driver for us as we add new SPO relationships and expand existing ones. We have been investing in SPO technology and partnerships for five years and SPO represented over 50% of total activity for the three months ended June 30, 2024.</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Monetization Excellence</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focus on monetizing digital impressions by coordinating over a hundred billion real-time auctions and nearly a trillion bids globally on a daily basis, using our specialized cloud software, machine learning algorithms, and scaled transaction infrastructure. Valuable ad impressions are transparent and data rich, viewable by humans, and verifiable. Each ad impression we auction consists of 606 independent data parameters, which can yield valuable insights if recorded and analyzed properly. This processing of voluminous data for each ad impression must occur in less than half a second as consumers expect a seamless digital ad experience. We continually assess impressions from new and existing publishers through a rigorous validation process. We add or remove impressions from our platform based on an assessment of the projected value of the impressions, which is influenced by the type of publisher and its related consumers, as well as the potential volume of monetizable impressions and ad format types, such as digital video. We continuously create and iterate algorithms that leverage vast datasets flowing through our infrastructure to improve the liquidity in our marketplace. Our ability to drive successful outcomes in the real-time auction process on behalf of our publishers and buyers will affect our operating results.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Infrastructure Platform Efficiency</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a track record of expanding the capacity of our infrastructure platform, while maintaining or reducing the corresponding costs related to processing impressions transacted on our platform on a per impression basis. We expect to continue to invest in both software and hardware infrastructure to continue growing the number of valuable ad impressions we process on our platform.</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recent growth has been driven by a variety of factors including increased access to mobile web (display and video) and mobile app (display and video) impressions and desktop video impressions. Our performance is affected by our ability to maintain and grow our access to valuable ad impressions from current publishers as well as through new relationships with publishers. In June 2024, our platform processed approximately 687 billion ad impressions daily, each in a fraction of a second.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Our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generate revenue from publishers who use our platform. We generate revenue primarily through fees charged to our publishers, which are generally a percentage of the value of the advertising impressions that publishers monetize on the platform. We also generate revenues from our other products such as OpenWrap, our header bidding solution, and Connect, our solution that provides additional data and insights to buyers, which are sold separate from or in conjunction with use of our platform. In 2023, we launched Activate, which allows buyers to execute direct deals on our platform with publisher inventory, and Convert, our commerce media solution.</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report revenue on a net basis. This represents gross billings to buyers, net of amounts we pay publishers. We record our accounts receivable at the amount of gross billings to buyers, net of allowances, for the amounts we are responsible to collect, and we record our accounts payable at the net amount payable to publishers. Accordingly, both accounts receivable and accounts payable appear large in relation to revenue, which is reported on a net basis.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Cost of revenue consists of data center co-location costs, depreciation expense related to hardware supporting our platform, amortization expense related to capitalized internal-use software development costs, personnel costs, and allocated facilities costs. Personnel costs include salaries, bonuses, stock-based compensation, and employee benefit costs, and are primarily attributable to our cloud operations group, which maintains our servers, and our client operations group, which is responsible for the integration of new publishers and buyers and providing customer support for existing customers.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Technology and Development. </w:t>
      </w:r>
      <w:r>
        <w:rPr>
          <w:rFonts w:ascii="Times New Roman" w:cs="Times New Roman" w:eastAsia="Times New Roman" w:hAnsi="Times New Roman"/>
          <w:sz w:val="18"/>
          <w:szCs w:val="18"/>
          <w:color w:val="auto"/>
        </w:rPr>
        <w:t>Technology and development expenses consist of personnel costs, including salaries, bonuses, stock-based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and employee benefits costs, allocated facilities costs, and professional services. These expenses include costs incurred in the development, implementation and maintenance of internal-use software, including platform and related infrastructure. We expend technology and development costs as incurred, except to the extent that such costs are associated with internal-use software development that qualifies for capitalization. We expect technology and development expenses to generally increase in absolute dollars in future periods.</w:t>
      </w:r>
    </w:p>
    <w:p>
      <w:pPr>
        <w:spacing w:after="0" w:line="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consist of personnel costs, including salaries, bonuses, stock-based compensation, and employee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benefits costs, for our employees engaged in sales, sales support, marketing, business development, and customer relationship functions. Sales and marketing expenses also include expenses related to promotional, advertising and marketing activities, allocated facilities costs, travel, and entertainment primarily related to sales activity and professional services. We expect sales and marketing expenses to increase in absolute dollars in future periods.</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General and administrative expenses consist of personnel costs, including salaries, bonuses, stock-based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employee benefits costs for our executive, finance, legal, human resources, information technology, and other administrative employees. General and administrative expenses also include outside consulting, legal and accounting services, allocated facilities costs, and travel and entertainment primarily related to inter-office travel and conferences.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Other Income (expense), Net</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Total other income (expense), net consists of interest income and other income (expense), net. Interest income is generated by investing excess cash into money market accounts and marketable securities. Other income (expense), net consists primarily of gains and losses from foreign currency exchange transactions.</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believe that investment gains and losses, whether realized from dispositions or unrealized from changes in market prices of equity securities, are generally meaningless in understanding our reported results or evaluating the economic performance of our businesses. These gains and losses have caused and will continue to cause significant volatility in our periodic earnings.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(benefit from) Income Taxes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provision for (benefit from) income taxes consists primarily of federal, state, and foreign income taxes. Our provision for income taxes or income tax benefit may be significantly affected by changes to our estimates for tax in jurisdictions in which we operate and other estimates utilized in determining the global effective tax rate. Actual results may also differ from our estimates based on changes in economic conditions. Such changes could have a substantial impact on the income tax provision. We reevaluate the judgments surrounding our estimates and make adjustments, as appropriate, each reporting period.</w:t>
      </w:r>
    </w:p>
    <w:p>
      <w:pPr>
        <w:spacing w:after="0" w:line="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effective tax rate differs from the U.S. federal statutory income tax rate due to state taxes, foreign tax rate differences, research tax credits, and stock-based compensation.</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Realization of our deferred tax assets is dependent primarily on the generation of future taxable income. In considering the need for a valuation allowance, we consider our historical, as well as future projected, taxable income along with other objectively verifiable evidence. Objectively verifiable evidence includes our realization of tax attributes, assessment of tax credits, and utilization of net operating loss carryforwards during the year.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tables set forth our condensed consolidated results of operations data and such data as a percentage of revenue for the periods presented.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period-to-period comparison of results is not necessarily indicative of results for future periods.</w:t>
      </w:r>
    </w:p>
    <w:p>
      <w:pPr>
        <w:sectPr>
          <w:pgSz w:w="11900" w:h="16838" w:orient="portrait"/>
          <w:cols w:equalWidth="0" w:num="1">
            <w:col w:w="11240"/>
          </w:cols>
          <w:pgMar w:left="320" w:top="229" w:right="339" w:bottom="1440" w:gutter="0" w:footer="0" w:header="0"/>
        </w:sectPr>
      </w:pPr>
    </w:p>
    <w:p>
      <w:pPr>
        <w:spacing w:after="0" w:line="14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41910</wp:posOffset>
            </wp:positionV>
            <wp:extent cx="192913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929130" cy="8255"/>
                    </a:xfrm>
                    <a:prstGeom prst="rect">
                      <a:avLst/>
                    </a:prstGeom>
                    <a:noFill/>
                  </pic:spPr>
                </pic:pic>
              </a:graphicData>
            </a:graphic>
          </wp:anchor>
        </w:drawing>
      </w:r>
    </w:p>
    <w:p>
      <w:pPr>
        <w:spacing w:after="0" w:line="62" w:lineRule="exact"/>
        <w:rPr>
          <w:sz w:val="20"/>
          <w:szCs w:val="20"/>
          <w:color w:val="auto"/>
        </w:rPr>
      </w:pPr>
    </w:p>
    <w:p>
      <w:pPr>
        <w:ind w:left="5640"/>
        <w:spacing w:after="0"/>
        <w:tabs>
          <w:tab w:leader="none" w:pos="718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41910</wp:posOffset>
            </wp:positionV>
            <wp:extent cx="192913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929130" cy="8255"/>
                    </a:xfrm>
                    <a:prstGeom prst="rect">
                      <a:avLst/>
                    </a:prstGeom>
                    <a:noFill/>
                  </pic:spPr>
                </pic:pic>
              </a:graphicData>
            </a:graphic>
          </wp:anchor>
        </w:drawing>
      </w:r>
    </w:p>
    <w:p>
      <w:pPr>
        <w:spacing w:after="0" w:line="62"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41910</wp:posOffset>
            </wp:positionV>
            <wp:extent cx="194564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62"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41910</wp:posOffset>
            </wp:positionV>
            <wp:extent cx="194564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66" w:lineRule="exact"/>
        <w:rPr>
          <w:sz w:val="20"/>
          <w:szCs w:val="20"/>
          <w:color w:val="auto"/>
        </w:rPr>
      </w:pPr>
    </w:p>
    <w:p>
      <w:pPr>
        <w:sectPr>
          <w:pgSz w:w="11900" w:h="16838" w:orient="portrait"/>
          <w:cols w:equalWidth="0" w:num="2">
            <w:col w:w="8060" w:space="720"/>
            <w:col w:w="2460"/>
          </w:cols>
          <w:pgMar w:left="320" w:top="229" w:right="3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67,267</w:t>
            </w:r>
          </w:p>
        </w:tc>
        <w:tc>
          <w:tcPr>
            <w:tcW w:w="8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63,330</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133,968</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118,737</w:t>
            </w:r>
          </w:p>
        </w:tc>
      </w:tr>
      <w:tr>
        <w:trPr>
          <w:trHeight w:val="270"/>
        </w:trPr>
        <w:tc>
          <w:tcPr>
            <w:tcW w:w="5040" w:type="dxa"/>
            <w:vAlign w:val="bottom"/>
            <w:tcBorders>
              <w:bottom w:val="single" w:sz="8" w:color="CCEEFF"/>
            </w:tcBorders>
          </w:tcPr>
          <w:p>
            <w:pPr>
              <w:ind w:left="20"/>
              <w:spacing w:after="0" w:line="270" w:lineRule="exact"/>
              <w:rPr>
                <w:sz w:val="20"/>
                <w:szCs w:val="20"/>
                <w:color w:val="auto"/>
              </w:rPr>
            </w:pPr>
            <w:r>
              <w:rPr>
                <w:rFonts w:ascii="Times New Roman" w:cs="Times New Roman" w:eastAsia="Times New Roman" w:hAnsi="Times New Roman"/>
                <w:sz w:val="18"/>
                <w:szCs w:val="18"/>
                <w:color w:val="auto"/>
              </w:rPr>
              <w:t>Cost of revenue</w:t>
            </w:r>
            <w:r>
              <w:rPr>
                <w:rFonts w:ascii="Times New Roman" w:cs="Times New Roman" w:eastAsia="Times New Roman" w:hAnsi="Times New Roman"/>
                <w:sz w:val="28"/>
                <w:szCs w:val="28"/>
                <w:color w:val="auto"/>
                <w:vertAlign w:val="superscript"/>
              </w:rPr>
              <w:t>(2)</w:t>
            </w:r>
          </w:p>
        </w:tc>
        <w:tc>
          <w:tcPr>
            <w:tcW w:w="5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25,160</w:t>
            </w:r>
          </w:p>
        </w:tc>
        <w:tc>
          <w:tcPr>
            <w:tcW w:w="8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25,067</w:t>
            </w:r>
          </w:p>
        </w:tc>
        <w:tc>
          <w:tcPr>
            <w:tcW w:w="10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50,584</w:t>
            </w:r>
          </w:p>
        </w:tc>
        <w:tc>
          <w:tcPr>
            <w:tcW w:w="10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48,930</w:t>
            </w:r>
          </w:p>
        </w:tc>
      </w:tr>
      <w:tr>
        <w:trPr>
          <w:trHeight w:val="263"/>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42,107</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38,263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83,384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69,807</w:t>
            </w:r>
          </w:p>
        </w:tc>
      </w:tr>
      <w:tr>
        <w:trPr>
          <w:trHeight w:val="264"/>
        </w:trPr>
        <w:tc>
          <w:tcPr>
            <w:tcW w:w="5040" w:type="dxa"/>
            <w:vAlign w:val="bottom"/>
          </w:tcPr>
          <w:p>
            <w:pPr>
              <w:ind w:left="20"/>
              <w:spacing w:after="0" w:line="263" w:lineRule="exact"/>
              <w:rPr>
                <w:sz w:val="20"/>
                <w:szCs w:val="20"/>
                <w:color w:val="auto"/>
              </w:rPr>
            </w:pPr>
            <w:r>
              <w:rPr>
                <w:rFonts w:ascii="Times New Roman" w:cs="Times New Roman" w:eastAsia="Times New Roman" w:hAnsi="Times New Roman"/>
                <w:sz w:val="18"/>
                <w:szCs w:val="18"/>
                <w:color w:val="auto"/>
              </w:rPr>
              <w:t>Operating expenses</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18"/>
                <w:szCs w:val="18"/>
                <w:color w:val="auto"/>
              </w:rPr>
              <w:t>:</w:t>
            </w:r>
          </w:p>
        </w:tc>
        <w:tc>
          <w:tcPr>
            <w:tcW w:w="50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r>
      <w:tr>
        <w:trPr>
          <w:trHeight w:val="250"/>
        </w:trPr>
        <w:tc>
          <w:tcPr>
            <w:tcW w:w="5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8,659</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13,247</w:t>
            </w:r>
          </w:p>
        </w:tc>
      </w:tr>
      <w:tr>
        <w:trPr>
          <w:trHeight w:val="243"/>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23,095</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47,910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42,937</w:t>
            </w:r>
          </w:p>
        </w:tc>
      </w:tr>
      <w:tr>
        <w:trPr>
          <w:trHeight w:val="27"/>
        </w:trPr>
        <w:tc>
          <w:tcPr>
            <w:tcW w:w="5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3"/>
                <w:szCs w:val="23"/>
                <w:color w:val="auto"/>
                <w:vertAlign w:val="superscript"/>
              </w:rPr>
              <w:t>(1)</w:t>
            </w:r>
          </w:p>
        </w:tc>
        <w:tc>
          <w:tcPr>
            <w:tcW w:w="5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14,338</w:t>
            </w:r>
          </w:p>
        </w:tc>
        <w:tc>
          <w:tcPr>
            <w:tcW w:w="8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18,857</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28,365</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31,429</w:t>
            </w:r>
          </w:p>
        </w:tc>
      </w:tr>
      <w:tr>
        <w:trPr>
          <w:trHeight w:val="237"/>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46,092</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45,397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92,894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87,613</w:t>
            </w:r>
          </w:p>
        </w:tc>
      </w:tr>
      <w:tr>
        <w:trPr>
          <w:trHeight w:val="27"/>
        </w:trPr>
        <w:tc>
          <w:tcPr>
            <w:tcW w:w="50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(3,985)</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(17,806)</w:t>
            </w:r>
          </w:p>
        </w:tc>
      </w:tr>
      <w:tr>
        <w:trPr>
          <w:trHeight w:val="243"/>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4,067</w:t>
            </w:r>
          </w:p>
        </w:tc>
      </w:tr>
      <w:tr>
        <w:trPr>
          <w:trHeight w:val="27"/>
        </w:trPr>
        <w:tc>
          <w:tcPr>
            <w:tcW w:w="5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4,028</w:t>
            </w:r>
          </w:p>
        </w:tc>
        <w:tc>
          <w:tcPr>
            <w:tcW w:w="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r>
      <w:tr>
        <w:trPr>
          <w:trHeight w:val="237"/>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2,383</w:t>
            </w:r>
          </w:p>
        </w:tc>
        <w:tc>
          <w:tcPr>
            <w:tcW w:w="8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(5,179)</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(14,425)</w:t>
            </w:r>
          </w:p>
        </w:tc>
      </w:tr>
      <w:tr>
        <w:trPr>
          <w:trHeight w:val="27"/>
        </w:trPr>
        <w:tc>
          <w:tcPr>
            <w:tcW w:w="5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w:t>
            </w:r>
          </w:p>
        </w:tc>
      </w:tr>
      <w:tr>
        <w:trPr>
          <w:trHeight w:val="26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8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(5,724)</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(11,595)</w:t>
            </w:r>
          </w:p>
        </w:tc>
      </w:tr>
      <w:tr>
        <w:trPr>
          <w:trHeight w:val="20"/>
        </w:trPr>
        <w:tc>
          <w:tcPr>
            <w:tcW w:w="50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64" w:lineRule="exact"/>
        <w:rPr>
          <w:sz w:val="20"/>
          <w:szCs w:val="20"/>
          <w:color w:val="auto"/>
        </w:rPr>
      </w:pPr>
    </w:p>
    <w:p>
      <w:pPr>
        <w:ind w:left="660" w:hanging="328"/>
        <w:spacing w:after="0" w:line="267" w:lineRule="auto"/>
        <w:tabs>
          <w:tab w:leader="none" w:pos="6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for the three and six months ended June 30, 2023 include a provision for bad debt of $5.7 million relating to a DSP buyer of our platform that filed for Chapter 11 bankruptcy.</w:t>
      </w:r>
    </w:p>
    <w:p>
      <w:pPr>
        <w:ind w:left="640" w:hanging="308"/>
        <w:spacing w:after="0"/>
        <w:tabs>
          <w:tab w:leader="none" w:pos="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Amounts include stock-based compensation expense before tax benefit as follows:</w:t>
      </w:r>
    </w:p>
    <w:p>
      <w:pPr>
        <w:sectPr>
          <w:pgSz w:w="11900" w:h="16838" w:orient="portrait"/>
          <w:cols w:equalWidth="0" w:num="1">
            <w:col w:w="11240"/>
          </w:cols>
          <w:pgMar w:left="320" w:top="229" w:right="339" w:bottom="1440" w:gutter="0" w:footer="0" w:header="0"/>
          <w:type w:val="continuous"/>
        </w:sectPr>
      </w:pPr>
    </w:p>
    <w:p>
      <w:pPr>
        <w:spacing w:after="0" w:line="15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41910</wp:posOffset>
            </wp:positionV>
            <wp:extent cx="192913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929130" cy="8255"/>
                    </a:xfrm>
                    <a:prstGeom prst="rect">
                      <a:avLst/>
                    </a:prstGeom>
                    <a:noFill/>
                  </pic:spPr>
                </pic:pic>
              </a:graphicData>
            </a:graphic>
          </wp:anchor>
        </w:drawing>
      </w:r>
    </w:p>
    <w:p>
      <w:pPr>
        <w:spacing w:after="0" w:line="62" w:lineRule="exact"/>
        <w:rPr>
          <w:sz w:val="20"/>
          <w:szCs w:val="20"/>
          <w:color w:val="auto"/>
        </w:rPr>
      </w:pPr>
    </w:p>
    <w:p>
      <w:pPr>
        <w:ind w:left="5640"/>
        <w:spacing w:after="0"/>
        <w:tabs>
          <w:tab w:leader="none" w:pos="718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41910</wp:posOffset>
            </wp:positionV>
            <wp:extent cx="19291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929130" cy="8890"/>
                    </a:xfrm>
                    <a:prstGeom prst="rect">
                      <a:avLst/>
                    </a:prstGeom>
                    <a:noFill/>
                  </pic:spPr>
                </pic:pic>
              </a:graphicData>
            </a:graphic>
          </wp:anchor>
        </w:drawing>
      </w:r>
    </w:p>
    <w:p>
      <w:pPr>
        <w:spacing w:after="0" w:line="62"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41910</wp:posOffset>
            </wp:positionV>
            <wp:extent cx="194564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62"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41910</wp:posOffset>
            </wp:positionV>
            <wp:extent cx="194564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945640" cy="8890"/>
                    </a:xfrm>
                    <a:prstGeom prst="rect">
                      <a:avLst/>
                    </a:prstGeom>
                    <a:noFill/>
                  </pic:spPr>
                </pic:pic>
              </a:graphicData>
            </a:graphic>
          </wp:anchor>
        </w:drawing>
      </w:r>
    </w:p>
    <w:p>
      <w:pPr>
        <w:spacing w:after="0" w:line="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66" w:lineRule="exact"/>
        <w:rPr>
          <w:sz w:val="20"/>
          <w:szCs w:val="20"/>
          <w:color w:val="auto"/>
        </w:rPr>
      </w:pPr>
    </w:p>
    <w:p>
      <w:pPr>
        <w:sectPr>
          <w:pgSz w:w="11900" w:h="16838" w:orient="portrait"/>
          <w:cols w:equalWidth="0" w:num="2">
            <w:col w:w="8060" w:space="720"/>
            <w:col w:w="2460"/>
          </w:cols>
          <w:pgMar w:left="320" w:top="229" w:right="3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8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w:t>
            </w:r>
          </w:p>
        </w:tc>
      </w:tr>
      <w:tr>
        <w:trPr>
          <w:trHeight w:val="27"/>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3,472</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5,323</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4,089</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6,203</w:t>
            </w:r>
          </w:p>
        </w:tc>
      </w:tr>
      <w:tr>
        <w:trPr>
          <w:trHeight w:val="27"/>
        </w:trPr>
        <w:tc>
          <w:tcPr>
            <w:tcW w:w="50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9"/>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9,699</w:t>
            </w:r>
          </w:p>
        </w:tc>
        <w:tc>
          <w:tcPr>
            <w:tcW w:w="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7,266</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18,810</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14,325</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878"/>
        </w:trPr>
        <w:tc>
          <w:tcPr>
            <w:tcW w:w="5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15"/>
        </w:trPr>
        <w:tc>
          <w:tcPr>
            <w:tcW w:w="50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00" w:type="dxa"/>
            <w:vAlign w:val="bottom"/>
            <w:gridSpan w:val="7"/>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40" w:type="dxa"/>
            <w:vAlign w:val="bottom"/>
            <w:gridSpan w:val="5"/>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37"/>
        </w:trPr>
        <w:tc>
          <w:tcPr>
            <w:tcW w:w="476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37"/>
        </w:trPr>
        <w:tc>
          <w:tcPr>
            <w:tcW w:w="476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gridSpan w:val="2"/>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gridSpan w:val="2"/>
          </w:tcPr>
          <w:p>
            <w:pPr>
              <w:spacing w:after="0"/>
              <w:rPr>
                <w:sz w:val="3"/>
                <w:szCs w:val="3"/>
                <w:color w:val="auto"/>
              </w:rPr>
            </w:pPr>
          </w:p>
        </w:tc>
        <w:tc>
          <w:tcPr>
            <w:tcW w:w="158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00" w:type="dxa"/>
            <w:vAlign w:val="bottom"/>
            <w:gridSpan w:val="7"/>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(as percentage of revenue)</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40" w:type="dxa"/>
            <w:vAlign w:val="bottom"/>
            <w:gridSpan w:val="5"/>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(as percentage of revenue)</w:t>
            </w:r>
          </w:p>
        </w:tc>
        <w:tc>
          <w:tcPr>
            <w:tcW w:w="0" w:type="dxa"/>
            <w:vAlign w:val="bottom"/>
          </w:tcPr>
          <w:p>
            <w:pPr>
              <w:spacing w:after="0"/>
              <w:rPr>
                <w:sz w:val="1"/>
                <w:szCs w:val="1"/>
                <w:color w:val="auto"/>
              </w:rPr>
            </w:pPr>
          </w:p>
        </w:tc>
      </w:tr>
      <w:tr>
        <w:trPr>
          <w:trHeight w:val="37"/>
        </w:trPr>
        <w:tc>
          <w:tcPr>
            <w:tcW w:w="476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43"/>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37</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38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63</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62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43"/>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3"/>
        </w:trPr>
        <w:tc>
          <w:tcPr>
            <w:tcW w:w="4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34</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36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21</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7"/>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68</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69</w:t>
            </w:r>
          </w:p>
        </w:tc>
        <w:tc>
          <w:tcPr>
            <w:tcW w:w="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3"/>
        </w:trPr>
        <w:tc>
          <w:tcPr>
            <w:tcW w:w="4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7"/>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gridSpan w:val="2"/>
          </w:tcPr>
          <w:p>
            <w:pPr>
              <w:spacing w:after="0"/>
              <w:rPr>
                <w:sz w:val="20"/>
                <w:szCs w:val="20"/>
                <w:color w:val="auto"/>
              </w:rPr>
            </w:pPr>
          </w:p>
        </w:tc>
        <w:tc>
          <w:tcPr>
            <w:tcW w:w="156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63"/>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gridSpan w:val="2"/>
          </w:tcPr>
          <w:p>
            <w:pPr>
              <w:ind w:left="8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gridSpan w:val="2"/>
          </w:tcPr>
          <w:p>
            <w:pPr>
              <w:spacing w:after="0"/>
              <w:rPr>
                <w:sz w:val="22"/>
                <w:szCs w:val="22"/>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
        </w:trPr>
        <w:tc>
          <w:tcPr>
            <w:tcW w:w="4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Cost of Revenue and Gross Profit</w:t>
            </w: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47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4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900" w:type="dxa"/>
            <w:vAlign w:val="bottom"/>
            <w:gridSpan w:val="7"/>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476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80" w:type="dxa"/>
            <w:vAlign w:val="bottom"/>
            <w:gridSpan w:val="4"/>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4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4"/>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76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900" w:type="dxa"/>
            <w:vAlign w:val="bottom"/>
            <w:tcBorders>
              <w:bottom w:val="single" w:sz="8" w:color="auto"/>
            </w:tcBorders>
            <w:gridSpan w:val="7"/>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00" w:type="dxa"/>
            <w:vAlign w:val="bottom"/>
            <w:gridSpan w:val="7"/>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76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67,267</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63,330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3,937</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43"/>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25,160</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25,067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42,107</w:t>
            </w: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38,263</w:t>
            </w:r>
          </w:p>
        </w:tc>
        <w:tc>
          <w:tcPr>
            <w:tcW w:w="100" w:type="dxa"/>
            <w:vAlign w:val="bottom"/>
            <w:shd w:val="clear" w:color="auto" w:fill="CCEEFF"/>
          </w:tcPr>
          <w:p>
            <w:pPr>
              <w:spacing w:after="0"/>
              <w:rPr>
                <w:sz w:val="24"/>
                <w:szCs w:val="24"/>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3,844</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 margin</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63 %</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5"/>
        </w:trPr>
        <w:tc>
          <w:tcPr>
            <w:tcW w:w="4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00" w:type="dxa"/>
            <w:vAlign w:val="bottom"/>
            <w:gridSpan w:val="7"/>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476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80" w:type="dxa"/>
            <w:vAlign w:val="bottom"/>
            <w:gridSpan w:val="4"/>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4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4"/>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76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900" w:type="dxa"/>
            <w:vAlign w:val="bottom"/>
            <w:tcBorders>
              <w:bottom w:val="single" w:sz="8" w:color="auto"/>
            </w:tcBorders>
            <w:gridSpan w:val="7"/>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00" w:type="dxa"/>
            <w:vAlign w:val="bottom"/>
            <w:gridSpan w:val="7"/>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76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133,968</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118,737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43"/>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50,584</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48,930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83,384</w:t>
            </w: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69,807</w:t>
            </w:r>
          </w:p>
        </w:tc>
        <w:tc>
          <w:tcPr>
            <w:tcW w:w="100" w:type="dxa"/>
            <w:vAlign w:val="bottom"/>
            <w:shd w:val="clear" w:color="auto" w:fill="CCEEFF"/>
          </w:tcPr>
          <w:p>
            <w:pPr>
              <w:spacing w:after="0"/>
              <w:rPr>
                <w:sz w:val="24"/>
                <w:szCs w:val="24"/>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13,577</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 margin</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62 %</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Revenue for the three months ended June 30, 2024 increased by $3.9 million, or 6%, compared to the three months ended June 30, 2023. Revenue for the six months ended June 30, 2024 increased by $15.2 million, or 13%, compared to the six months ended June 30, 2023. Our revenues were primarily driven by increased impressions processed on our platform, new revenue streams, and growth in customer relationships. Our business was negatively impacted by bidding methodology changes implemented by one of our buyers in the second half of the second fiscal quarter.</w:t>
      </w:r>
    </w:p>
    <w:p>
      <w:pPr>
        <w:spacing w:after="0" w:line="7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As of June 30, 2024, we served approximately 1,800 publishers and app developers worldwide on our platform, compared to approximately 1,750 publishers and app developers worldwide as of June 30, 2023. For purposes of our publisher count, we aggregate multiple business accounts from separate divisions, segments or subsidiaries into a single “master” publisher based on our assessment of the related nature of the group.</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expect our revenues to be affected by macroeconomic conditions for the remainder of 2024, and will continue to be impacted by the bidding methodology changes implemented by one of our buyers in the near term. The magnitude of these impacts on our future revenues is difficult to predict.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Cost of revenue increased $0.1 million for the three months ended June 30, 2024 compared to the three months ended June 30, 2023, primarily due to a $0.4 million increase in depreciation of data center equipment and amortization of internal-use software and a $0.4 million increase in personnel costs as headcount increased, offset by a $0.5 million decrease in data center costs. Overall, our cost of revenue per impression processed for the three months ended June 30, 2024 decreased by approximately 19% compared to the three months ended June 30, 2023.</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Cost of revenue increased $1.7 million for the six months ended June 30, 2024 compared to the six months ended June 30, 2023, primarily due to a $0.9 million increase in depreciation of data center equipment and amortization of internal-use software and a $1.1 million increase in personnel costs as headcount increased, offset by a $0.5 million decrease in data center costs. Overall, our cost of revenue per impression processed for the six months ended June 30, 2024 decreased by approximately 17% compared to the six months ended June 30, 2023.</w:t>
      </w:r>
    </w:p>
    <w:p>
      <w:pPr>
        <w:spacing w:after="0" w:line="72" w:lineRule="exact"/>
        <w:rPr>
          <w:sz w:val="20"/>
          <w:szCs w:val="20"/>
          <w:color w:val="auto"/>
        </w:rPr>
      </w:pPr>
    </w:p>
    <w:p>
      <w:pPr>
        <w:jc w:val="both"/>
        <w:ind w:right="20" w:firstLine="311"/>
        <w:spacing w:after="0" w:line="266" w:lineRule="auto"/>
        <w:rPr>
          <w:sz w:val="20"/>
          <w:szCs w:val="20"/>
          <w:color w:val="auto"/>
        </w:rPr>
      </w:pPr>
      <w:r>
        <w:rPr>
          <w:rFonts w:ascii="Times New Roman" w:cs="Times New Roman" w:eastAsia="Times New Roman" w:hAnsi="Times New Roman"/>
          <w:sz w:val="18"/>
          <w:szCs w:val="18"/>
          <w:color w:val="auto"/>
        </w:rPr>
        <w:t>Our gross margin of 63% for the three months ended June 30, 2024 increased compared to 60% for the three months ended June 30, 2023, and our gross margin of 62% for the six months ended June 30, 2024 increased compared to 59% for the six months ended June 30, 2023 primarily due to acceleration of revenue growth.</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expect the cost of revenue to be higher in 2024 compared to 2023 in absolute dollars as we continue to expand our capacity to process impressions. Cost of revenue may fluctuate from quarter to quarter and period to period, on an absolute dollar basis and as a percentage of revenue, depending on revenue levels and the volume of transactions we process supporting those revenues, and the timing and amounts of depreciation and amortization of equipment and software.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and Development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80" w:type="dxa"/>
            <w:vAlign w:val="bottom"/>
            <w:gridSpan w:val="4"/>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78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8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4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Pr>
          <w:p>
            <w:pPr>
              <w:spacing w:after="0"/>
              <w:rPr>
                <w:sz w:val="16"/>
                <w:szCs w:val="16"/>
                <w:color w:val="auto"/>
              </w:rPr>
            </w:pPr>
          </w:p>
        </w:tc>
        <w:tc>
          <w:tcPr>
            <w:tcW w:w="94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78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gridSpan w:val="2"/>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40" w:type="dxa"/>
            <w:vAlign w:val="bottom"/>
            <w:gridSpan w:val="2"/>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7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8,659</w:t>
            </w:r>
          </w:p>
        </w:tc>
        <w:tc>
          <w:tcPr>
            <w:tcW w:w="68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6,730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4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 of revenue</w:t>
            </w:r>
          </w:p>
        </w:tc>
        <w:tc>
          <w:tcPr>
            <w:tcW w:w="380" w:type="dxa"/>
            <w:vAlign w:val="bottom"/>
          </w:tcPr>
          <w:p>
            <w:pPr>
              <w:spacing w:after="0"/>
              <w:rPr>
                <w:sz w:val="21"/>
                <w:szCs w:val="21"/>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13 %</w:t>
            </w:r>
          </w:p>
        </w:tc>
        <w:tc>
          <w:tcPr>
            <w:tcW w:w="6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6"/>
        </w:trPr>
        <w:tc>
          <w:tcPr>
            <w:tcW w:w="4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98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478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8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4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Pr>
          <w:p>
            <w:pPr>
              <w:spacing w:after="0"/>
              <w:rPr>
                <w:sz w:val="16"/>
                <w:szCs w:val="16"/>
                <w:color w:val="auto"/>
              </w:rPr>
            </w:pPr>
          </w:p>
        </w:tc>
        <w:tc>
          <w:tcPr>
            <w:tcW w:w="94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78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gridSpan w:val="2"/>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40" w:type="dxa"/>
            <w:vAlign w:val="bottom"/>
            <w:gridSpan w:val="2"/>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7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16,619</w:t>
            </w:r>
          </w:p>
        </w:tc>
        <w:tc>
          <w:tcPr>
            <w:tcW w:w="68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13,247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4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 of revenue</w:t>
            </w:r>
          </w:p>
        </w:tc>
        <w:tc>
          <w:tcPr>
            <w:tcW w:w="380" w:type="dxa"/>
            <w:vAlign w:val="bottom"/>
          </w:tcPr>
          <w:p>
            <w:pPr>
              <w:spacing w:after="0"/>
              <w:rPr>
                <w:sz w:val="21"/>
                <w:szCs w:val="21"/>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12 %</w:t>
            </w:r>
          </w:p>
        </w:tc>
        <w:tc>
          <w:tcPr>
            <w:tcW w:w="6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increase in technology and development costs for the three months ended June 30, 2024 was primarily due to an increase of $2.1 million in personnel costs as headcount increased, partially offset by an increase of $0.5 million related to the capitalization of internal-use software.</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increase in technology and development costs for the six months ended June 30, 2024 was primarily due to an increase of $3.7 million in personnel costs as headcount increased and an increase in facilities costs of $0.4 million, partially offset by an increase of $1.0 million related to the capitalization of internal-use software.</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expect technology and development expenses to continue to increase in 2024 compared to 2023 in absolute dollars, primarily due to additional headcount and investment in technological innovation.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40" w:type="dxa"/>
            <w:vAlign w:val="bottom"/>
            <w:gridSpan w:val="4"/>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84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6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4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Pr>
          <w:p>
            <w:pPr>
              <w:spacing w:after="0"/>
              <w:rPr>
                <w:sz w:val="16"/>
                <w:szCs w:val="16"/>
                <w:color w:val="auto"/>
              </w:rPr>
            </w:pPr>
          </w:p>
        </w:tc>
        <w:tc>
          <w:tcPr>
            <w:tcW w:w="92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84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gridSpan w:val="2"/>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20" w:type="dxa"/>
            <w:vAlign w:val="bottom"/>
            <w:gridSpan w:val="2"/>
          </w:tcPr>
          <w:p>
            <w:pPr>
              <w:jc w:val="center"/>
              <w:ind w:left="461"/>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8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23,095</w:t>
            </w:r>
          </w:p>
        </w:tc>
        <w:tc>
          <w:tcPr>
            <w:tcW w:w="68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19,810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43"/>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 of revenue</w:t>
            </w:r>
          </w:p>
        </w:tc>
        <w:tc>
          <w:tcPr>
            <w:tcW w:w="380" w:type="dxa"/>
            <w:vAlign w:val="bottom"/>
          </w:tcPr>
          <w:p>
            <w:pPr>
              <w:spacing w:after="0"/>
              <w:rPr>
                <w:sz w:val="21"/>
                <w:szCs w:val="21"/>
                <w:color w:val="auto"/>
              </w:rPr>
            </w:pP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34 %</w:t>
            </w:r>
          </w:p>
        </w:tc>
        <w:tc>
          <w:tcPr>
            <w:tcW w:w="6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6"/>
        </w:trPr>
        <w:tc>
          <w:tcPr>
            <w:tcW w:w="4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94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484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6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4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Pr>
          <w:p>
            <w:pPr>
              <w:spacing w:after="0"/>
              <w:rPr>
                <w:sz w:val="16"/>
                <w:szCs w:val="16"/>
                <w:color w:val="auto"/>
              </w:rPr>
            </w:pPr>
          </w:p>
        </w:tc>
        <w:tc>
          <w:tcPr>
            <w:tcW w:w="92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84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gridSpan w:val="2"/>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20" w:type="dxa"/>
            <w:vAlign w:val="bottom"/>
            <w:gridSpan w:val="2"/>
          </w:tcPr>
          <w:p>
            <w:pPr>
              <w:jc w:val="center"/>
              <w:ind w:left="461"/>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8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47,910</w:t>
            </w:r>
          </w:p>
        </w:tc>
        <w:tc>
          <w:tcPr>
            <w:tcW w:w="68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42,937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4,973</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43"/>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 of revenue</w:t>
            </w:r>
          </w:p>
        </w:tc>
        <w:tc>
          <w:tcPr>
            <w:tcW w:w="380" w:type="dxa"/>
            <w:vAlign w:val="bottom"/>
          </w:tcPr>
          <w:p>
            <w:pPr>
              <w:spacing w:after="0"/>
              <w:rPr>
                <w:sz w:val="21"/>
                <w:szCs w:val="21"/>
                <w:color w:val="auto"/>
              </w:rPr>
            </w:pP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36 %</w:t>
            </w:r>
          </w:p>
        </w:tc>
        <w:tc>
          <w:tcPr>
            <w:tcW w:w="6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Sales and marketing costs for the three months ended June 30, 2024 increased primarily due to a $2.9 million increase in personnel costs and a $0.3 million increase in facilities costs.</w:t>
      </w:r>
    </w:p>
    <w:p>
      <w:pPr>
        <w:spacing w:after="0" w:line="5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Sales and marketing costs for the six months ended June 30, 2024 increased primarily due to a $5.1 million increase in personnel costs and a $0.5 million increase in facilities costs, offset by a decrease in amortization of intangible assets of $0.9 million.</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expect sales and marketing expenses to increase in 2024 compared to 2023 in absolute dollars primarily due to additional headcount investment and marketing programs.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80" w:type="dxa"/>
            <w:vAlign w:val="bottom"/>
            <w:gridSpan w:val="4"/>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78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8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4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Pr>
          <w:p>
            <w:pPr>
              <w:spacing w:after="0"/>
              <w:rPr>
                <w:sz w:val="16"/>
                <w:szCs w:val="16"/>
                <w:color w:val="auto"/>
              </w:rPr>
            </w:pPr>
          </w:p>
        </w:tc>
        <w:tc>
          <w:tcPr>
            <w:tcW w:w="94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78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gridSpan w:val="2"/>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40" w:type="dxa"/>
            <w:vAlign w:val="bottom"/>
            <w:gridSpan w:val="2"/>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7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14,338</w:t>
            </w:r>
          </w:p>
        </w:tc>
        <w:tc>
          <w:tcPr>
            <w:tcW w:w="68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18,857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(4,519)</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4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 of revenue</w:t>
            </w:r>
          </w:p>
        </w:tc>
        <w:tc>
          <w:tcPr>
            <w:tcW w:w="380" w:type="dxa"/>
            <w:vAlign w:val="bottom"/>
          </w:tcPr>
          <w:p>
            <w:pPr>
              <w:spacing w:after="0"/>
              <w:rPr>
                <w:sz w:val="21"/>
                <w:szCs w:val="21"/>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21 %</w:t>
            </w:r>
          </w:p>
        </w:tc>
        <w:tc>
          <w:tcPr>
            <w:tcW w:w="6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5"/>
        </w:trPr>
        <w:tc>
          <w:tcPr>
            <w:tcW w:w="4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98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478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8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4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Pr>
          <w:p>
            <w:pPr>
              <w:spacing w:after="0"/>
              <w:rPr>
                <w:sz w:val="16"/>
                <w:szCs w:val="16"/>
                <w:color w:val="auto"/>
              </w:rPr>
            </w:pPr>
          </w:p>
        </w:tc>
        <w:tc>
          <w:tcPr>
            <w:tcW w:w="94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78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gridSpan w:val="2"/>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40" w:type="dxa"/>
            <w:vAlign w:val="bottom"/>
            <w:gridSpan w:val="2"/>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7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28,365</w:t>
            </w:r>
          </w:p>
        </w:tc>
        <w:tc>
          <w:tcPr>
            <w:tcW w:w="68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31,429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 of revenue</w:t>
            </w:r>
          </w:p>
        </w:tc>
        <w:tc>
          <w:tcPr>
            <w:tcW w:w="380" w:type="dxa"/>
            <w:vAlign w:val="bottom"/>
          </w:tcPr>
          <w:p>
            <w:pPr>
              <w:spacing w:after="0"/>
              <w:rPr>
                <w:sz w:val="21"/>
                <w:szCs w:val="21"/>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21 %</w:t>
            </w:r>
          </w:p>
        </w:tc>
        <w:tc>
          <w:tcPr>
            <w:tcW w:w="6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 decreased for the three months ended June 30, 2024 primarily due to a $5.7 million decrease in provision for bad debt relating to a DSP buyer on our platform that filed for Chapter 11 bankruptcy in June 2023, offset by a $1.7 million increase in personnel costs.</w:t>
      </w:r>
    </w:p>
    <w:p>
      <w:pPr>
        <w:spacing w:after="0" w:line="54" w:lineRule="exact"/>
        <w:rPr>
          <w:sz w:val="20"/>
          <w:szCs w:val="20"/>
          <w:color w:val="auto"/>
        </w:rPr>
      </w:pPr>
    </w:p>
    <w:p>
      <w:pPr>
        <w:jc w:val="both"/>
        <w:ind w:right="320"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decreased for the six months ended June 30, 2024 primarily due to a $5.7 million decrease in provision for bad debt relating to a DSP buyer of our platform that filed for Chapter 11 bankruptcy in June 2023 and a $0.6 million decrease in property taxes, offset by a $3.2 million increase in personnel costs.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expect general and administrative expenses to increase in 2024 compared to 2023 in absolute dollars primarily due to additional headcount.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9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4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Pr>
          <w:p>
            <w:pPr>
              <w:spacing w:after="0"/>
              <w:rPr>
                <w:sz w:val="16"/>
                <w:szCs w:val="16"/>
                <w:color w:val="auto"/>
              </w:rPr>
            </w:pP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9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660" w:type="dxa"/>
            <w:vAlign w:val="bottom"/>
            <w:tcBorders>
              <w:bottom w:val="single" w:sz="8" w:color="auto"/>
            </w:tcBorders>
            <w:gridSpan w:val="3"/>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9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2,340</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408"/>
        </w:trPr>
        <w:tc>
          <w:tcPr>
            <w:tcW w:w="4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6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49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4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Pr>
          <w:p>
            <w:pPr>
              <w:spacing w:after="0"/>
              <w:rPr>
                <w:sz w:val="16"/>
                <w:szCs w:val="16"/>
                <w:color w:val="auto"/>
              </w:rPr>
            </w:pP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9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660" w:type="dxa"/>
            <w:vAlign w:val="bottom"/>
            <w:tcBorders>
              <w:bottom w:val="single" w:sz="8" w:color="auto"/>
            </w:tcBorders>
            <w:gridSpan w:val="3"/>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9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4,904</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7"/>
        </w:trPr>
        <w:tc>
          <w:tcPr>
            <w:tcW w:w="49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460" w:firstLine="324"/>
        <w:spacing w:after="0" w:line="403" w:lineRule="auto"/>
        <w:rPr>
          <w:sz w:val="20"/>
          <w:szCs w:val="20"/>
          <w:color w:val="auto"/>
        </w:rPr>
      </w:pPr>
      <w:r>
        <w:rPr>
          <w:rFonts w:ascii="Times New Roman" w:cs="Times New Roman" w:eastAsia="Times New Roman" w:hAnsi="Times New Roman"/>
          <w:sz w:val="18"/>
          <w:szCs w:val="18"/>
          <w:color w:val="auto"/>
        </w:rPr>
        <w:t xml:space="preserve">Interest income increased for the three and six months ended June 30, 2024 compared to the prior year period due to the increase in interest rates. </w:t>
      </w:r>
      <w:r>
        <w:rPr>
          <w:rFonts w:ascii="Times New Roman" w:cs="Times New Roman" w:eastAsia="Times New Roman" w:hAnsi="Times New Roman"/>
          <w:sz w:val="18"/>
          <w:szCs w:val="18"/>
          <w:b w:val="1"/>
          <w:bCs w:val="1"/>
          <w:i w:val="1"/>
          <w:iCs w:val="1"/>
          <w:color w:val="auto"/>
        </w:rPr>
        <w:t>Other Income (Expense), net</w:t>
      </w:r>
    </w:p>
    <w:tbl>
      <w:tblPr>
        <w:tblLayout w:type="fixed"/>
        <w:tblInd w:w="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9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4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Pr>
          <w:p>
            <w:pPr>
              <w:spacing w:after="0"/>
              <w:rPr>
                <w:sz w:val="16"/>
                <w:szCs w:val="16"/>
                <w:color w:val="auto"/>
              </w:rPr>
            </w:pP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9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660" w:type="dxa"/>
            <w:vAlign w:val="bottom"/>
            <w:tcBorders>
              <w:bottom w:val="single" w:sz="8" w:color="auto"/>
            </w:tcBorders>
            <w:gridSpan w:val="3"/>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9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4,028</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4,249</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0" w:type="dxa"/>
            <w:vAlign w:val="bottom"/>
          </w:tcPr>
          <w:p>
            <w:pPr>
              <w:spacing w:after="0"/>
              <w:rPr>
                <w:sz w:val="1"/>
                <w:szCs w:val="1"/>
                <w:color w:val="auto"/>
              </w:rPr>
            </w:pPr>
          </w:p>
        </w:tc>
      </w:tr>
      <w:tr>
        <w:trPr>
          <w:trHeight w:val="408"/>
        </w:trPr>
        <w:tc>
          <w:tcPr>
            <w:tcW w:w="4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6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49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4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Pr>
          <w:p>
            <w:pPr>
              <w:spacing w:after="0"/>
              <w:rPr>
                <w:sz w:val="16"/>
                <w:szCs w:val="16"/>
                <w:color w:val="auto"/>
              </w:rPr>
            </w:pP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9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660" w:type="dxa"/>
            <w:vAlign w:val="bottom"/>
            <w:tcBorders>
              <w:bottom w:val="single" w:sz="8" w:color="auto"/>
            </w:tcBorders>
            <w:gridSpan w:val="3"/>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9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4,286</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4,972</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0" w:type="dxa"/>
            <w:vAlign w:val="bottom"/>
          </w:tcPr>
          <w:p>
            <w:pPr>
              <w:spacing w:after="0"/>
              <w:rPr>
                <w:sz w:val="1"/>
                <w:szCs w:val="1"/>
                <w:color w:val="auto"/>
              </w:rPr>
            </w:pPr>
          </w:p>
        </w:tc>
      </w:tr>
      <w:tr>
        <w:trPr>
          <w:trHeight w:val="27"/>
        </w:trPr>
        <w:tc>
          <w:tcPr>
            <w:tcW w:w="49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income (expense), net increased for the three and six months ended June 30, 2024 compared to the prior year period due to other income of $4.0 million from the Google Privacy Sandbox initiative in connection with their previous initiative to phase out the use of third-party cookies. This income was related to our efforts to build and test integrations with the privacy sandbox.</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(benefit from) Income Taxes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2460" w:type="dxa"/>
            <w:vAlign w:val="bottom"/>
            <w:gridSpan w:val="3"/>
          </w:tcPr>
          <w:p>
            <w:pPr>
              <w:jc w:val="center"/>
              <w:ind w:left="504"/>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98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4980" w:type="dxa"/>
            <w:vAlign w:val="bottom"/>
          </w:tcPr>
          <w:p>
            <w:pPr>
              <w:spacing w:after="0"/>
              <w:rPr>
                <w:sz w:val="16"/>
                <w:szCs w:val="16"/>
                <w:color w:val="auto"/>
              </w:rPr>
            </w:pPr>
          </w:p>
        </w:tc>
        <w:tc>
          <w:tcPr>
            <w:tcW w:w="1000" w:type="dxa"/>
            <w:vAlign w:val="bottom"/>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980" w:type="dxa"/>
            <w:vAlign w:val="bottom"/>
          </w:tcPr>
          <w:p>
            <w:pPr>
              <w:spacing w:after="0"/>
              <w:rPr>
                <w:sz w:val="3"/>
                <w:szCs w:val="3"/>
                <w:color w:val="auto"/>
              </w:rPr>
            </w:pPr>
          </w:p>
        </w:tc>
        <w:tc>
          <w:tcPr>
            <w:tcW w:w="2460" w:type="dxa"/>
            <w:vAlign w:val="bottom"/>
            <w:tcBorders>
              <w:bottom w:val="single" w:sz="8" w:color="auto"/>
            </w:tcBorders>
            <w:gridSpan w:val="3"/>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980" w:type="dxa"/>
            <w:vAlign w:val="bottom"/>
          </w:tcPr>
          <w:p>
            <w:pPr>
              <w:spacing w:after="0"/>
              <w:rPr>
                <w:sz w:val="16"/>
                <w:szCs w:val="16"/>
                <w:color w:val="auto"/>
              </w:rPr>
            </w:pPr>
          </w:p>
        </w:tc>
        <w:tc>
          <w:tcPr>
            <w:tcW w:w="2460" w:type="dxa"/>
            <w:vAlign w:val="bottom"/>
            <w:gridSpan w:val="3"/>
          </w:tcPr>
          <w:p>
            <w:pPr>
              <w:jc w:val="center"/>
              <w:ind w:left="504"/>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9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80" w:type="dxa"/>
            <w:vAlign w:val="bottom"/>
          </w:tcPr>
          <w:p>
            <w:pPr>
              <w:spacing w:after="0"/>
              <w:rPr>
                <w:sz w:val="3"/>
                <w:szCs w:val="3"/>
                <w:color w:val="auto"/>
              </w:rPr>
            </w:pPr>
          </w:p>
        </w:tc>
        <w:tc>
          <w:tcPr>
            <w:tcW w:w="9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0" w:type="dxa"/>
            <w:vAlign w:val="bottom"/>
            <w:tcBorders>
              <w:bottom w:val="single" w:sz="8" w:color="CCEEFF"/>
            </w:tcBorders>
            <w:shd w:val="clear" w:color="auto" w:fill="CCEEFF"/>
          </w:tcPr>
          <w:p>
            <w:pPr>
              <w:jc w:val="right"/>
              <w:ind w:right="80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980" w:type="dxa"/>
            <w:vAlign w:val="bottom"/>
            <w:tcBorders>
              <w:bottom w:val="single" w:sz="8" w:color="CCEEFF"/>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409"/>
        </w:trPr>
        <w:tc>
          <w:tcPr>
            <w:tcW w:w="4980" w:type="dxa"/>
            <w:vAlign w:val="bottom"/>
          </w:tcPr>
          <w:p>
            <w:pPr>
              <w:spacing w:after="0"/>
              <w:rPr>
                <w:sz w:val="24"/>
                <w:szCs w:val="24"/>
                <w:color w:val="auto"/>
              </w:rPr>
            </w:pPr>
          </w:p>
        </w:tc>
        <w:tc>
          <w:tcPr>
            <w:tcW w:w="2460" w:type="dxa"/>
            <w:vAlign w:val="bottom"/>
            <w:gridSpan w:val="3"/>
          </w:tcPr>
          <w:p>
            <w:pPr>
              <w:jc w:val="center"/>
              <w:ind w:left="50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498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4980" w:type="dxa"/>
            <w:vAlign w:val="bottom"/>
          </w:tcPr>
          <w:p>
            <w:pPr>
              <w:spacing w:after="0"/>
              <w:rPr>
                <w:sz w:val="16"/>
                <w:szCs w:val="16"/>
                <w:color w:val="auto"/>
              </w:rPr>
            </w:pPr>
          </w:p>
        </w:tc>
        <w:tc>
          <w:tcPr>
            <w:tcW w:w="1000" w:type="dxa"/>
            <w:vAlign w:val="bottom"/>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980" w:type="dxa"/>
            <w:vAlign w:val="bottom"/>
          </w:tcPr>
          <w:p>
            <w:pPr>
              <w:spacing w:after="0"/>
              <w:rPr>
                <w:sz w:val="3"/>
                <w:szCs w:val="3"/>
                <w:color w:val="auto"/>
              </w:rPr>
            </w:pPr>
          </w:p>
        </w:tc>
        <w:tc>
          <w:tcPr>
            <w:tcW w:w="2460" w:type="dxa"/>
            <w:vAlign w:val="bottom"/>
            <w:tcBorders>
              <w:bottom w:val="single" w:sz="8" w:color="auto"/>
            </w:tcBorders>
            <w:gridSpan w:val="3"/>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980" w:type="dxa"/>
            <w:vAlign w:val="bottom"/>
          </w:tcPr>
          <w:p>
            <w:pPr>
              <w:spacing w:after="0"/>
              <w:rPr>
                <w:sz w:val="16"/>
                <w:szCs w:val="16"/>
                <w:color w:val="auto"/>
              </w:rPr>
            </w:pPr>
          </w:p>
        </w:tc>
        <w:tc>
          <w:tcPr>
            <w:tcW w:w="2460" w:type="dxa"/>
            <w:vAlign w:val="bottom"/>
            <w:gridSpan w:val="3"/>
          </w:tcPr>
          <w:p>
            <w:pPr>
              <w:jc w:val="center"/>
              <w:ind w:left="504"/>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9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80" w:type="dxa"/>
            <w:vAlign w:val="bottom"/>
          </w:tcPr>
          <w:p>
            <w:pPr>
              <w:spacing w:after="0"/>
              <w:rPr>
                <w:sz w:val="3"/>
                <w:szCs w:val="3"/>
                <w:color w:val="auto"/>
              </w:rPr>
            </w:pPr>
          </w:p>
        </w:tc>
        <w:tc>
          <w:tcPr>
            <w:tcW w:w="9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000" w:type="dxa"/>
            <w:vAlign w:val="bottom"/>
            <w:shd w:val="clear" w:color="auto" w:fill="CCEEFF"/>
          </w:tcPr>
          <w:p>
            <w:pPr>
              <w:jc w:val="right"/>
              <w:ind w:right="80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9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(2,830)</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w:t>
            </w:r>
          </w:p>
        </w:tc>
        <w:tc>
          <w:tcPr>
            <w:tcW w:w="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7"/>
        </w:trPr>
        <w:tc>
          <w:tcPr>
            <w:tcW w:w="49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difference between the effective tax rate for the three months ended June 30, 2024 of 17% and the federal statutory income tax rate of 21% was related to tax benefits from foreign-derived intangible income and research tax credits, partially offset by Section 162(m) limitation on the tax deductibility of officers compensation. The effective income tax rate of (11)% for the three months ended June 30, 2023 was related to the tax benefit from foreign-derived intangible income (FDII), foreign tax credit and research tax credit partially offset by an increase in nondeductible stock-based compensation, global intangible low-taxed income (GILTI), and Section 162(m) limitation on the tax deductibility of officers compensation.</w:t>
      </w:r>
    </w:p>
    <w:p>
      <w:pPr>
        <w:spacing w:after="0" w:line="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difference between the effective tax rate for the six months ended June 30, 2024 of (51)% and the federal statutory income tax rate of 21% was related to tax benefits from foreign-derived intangible income, research tax credits, and deductions for equity awards, partially offset by nondeductible stock-based compensation and Section 162(m) limitation on the tax deductibility of officers compensation. The effective income tax rate of 20% for the six months ended June 30, 2023 was related to the tax benefit from foreign-derived intangible income (FDII), foreign tax credit and research tax credit partially offset by an increase in nondeductible stock-based compensation, global intangible low-taxed income (GILTI), and Section 162(m) limitation on the tax deductibility of officers compensation.</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to our results determined in accordance with U.S. generally accepted accounting principles (“GAAP”), including, in particular, operating loss, net cash provided by operating activities, and net income (loss), we believe that Adjusted EBITDA, a non-GAAP measure, is useful in evaluating our operating performance. We define Adjusted EBITDA as net income (loss) adjusted for stock-based compensation expense, depreciation and amortization, interest income, and provision for (benefit from) income taxes.</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a reconciliation of Adjusted EBITDA to net income (loss) for each of the periods indicated:</w:t>
      </w:r>
    </w:p>
    <w:p>
      <w:pPr>
        <w:sectPr>
          <w:pgSz w:w="11900" w:h="16838" w:orient="portrait"/>
          <w:cols w:equalWidth="0" w:num="1">
            <w:col w:w="11240"/>
          </w:cols>
          <w:pgMar w:left="320" w:top="229" w:right="339" w:bottom="1440" w:gutter="0" w:footer="0" w:header="0"/>
        </w:sectPr>
      </w:pPr>
    </w:p>
    <w:p>
      <w:pPr>
        <w:spacing w:after="0" w:line="16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41910</wp:posOffset>
            </wp:positionV>
            <wp:extent cx="192849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928495" cy="8890"/>
                    </a:xfrm>
                    <a:prstGeom prst="rect">
                      <a:avLst/>
                    </a:prstGeom>
                    <a:noFill/>
                  </pic:spPr>
                </pic:pic>
              </a:graphicData>
            </a:graphic>
          </wp:anchor>
        </w:drawing>
      </w:r>
    </w:p>
    <w:p>
      <w:pPr>
        <w:spacing w:after="0" w:line="62" w:lineRule="exact"/>
        <w:rPr>
          <w:sz w:val="20"/>
          <w:szCs w:val="20"/>
          <w:color w:val="auto"/>
        </w:rPr>
      </w:pPr>
    </w:p>
    <w:p>
      <w:pPr>
        <w:ind w:left="5640"/>
        <w:spacing w:after="0"/>
        <w:tabs>
          <w:tab w:leader="none" w:pos="720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41910</wp:posOffset>
            </wp:positionV>
            <wp:extent cx="192849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928495" cy="8255"/>
                    </a:xfrm>
                    <a:prstGeom prst="rect">
                      <a:avLst/>
                    </a:prstGeom>
                    <a:noFill/>
                  </pic:spPr>
                </pic:pic>
              </a:graphicData>
            </a:graphic>
          </wp:anchor>
        </w:drawing>
      </w:r>
    </w:p>
    <w:p>
      <w:pPr>
        <w:spacing w:after="0" w:line="62"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41910</wp:posOffset>
            </wp:positionV>
            <wp:extent cx="193738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937385" cy="8890"/>
                    </a:xfrm>
                    <a:prstGeom prst="rect">
                      <a:avLst/>
                    </a:prstGeom>
                    <a:noFill/>
                  </pic:spPr>
                </pic:pic>
              </a:graphicData>
            </a:graphic>
          </wp:anchor>
        </w:drawing>
      </w:r>
    </w:p>
    <w:p>
      <w:pPr>
        <w:spacing w:after="0" w:line="62"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41910</wp:posOffset>
            </wp:positionV>
            <wp:extent cx="193738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66" w:lineRule="exact"/>
        <w:rPr>
          <w:sz w:val="20"/>
          <w:szCs w:val="20"/>
          <w:color w:val="auto"/>
        </w:rPr>
      </w:pPr>
    </w:p>
    <w:p>
      <w:pPr>
        <w:sectPr>
          <w:pgSz w:w="11900" w:h="16838" w:orient="portrait"/>
          <w:cols w:equalWidth="0" w:num="2">
            <w:col w:w="8060" w:space="720"/>
            <w:col w:w="2460"/>
          </w:cols>
          <w:pgMar w:left="320" w:top="229" w:right="3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Net income (loss) </w:t>
            </w:r>
            <w:r>
              <w:rPr>
                <w:rFonts w:ascii="Times New Roman" w:cs="Times New Roman" w:eastAsia="Times New Roman" w:hAnsi="Times New Roman"/>
                <w:sz w:val="23"/>
                <w:szCs w:val="23"/>
                <w:color w:val="auto"/>
                <w:vertAlign w:val="superscript"/>
              </w:rPr>
              <w:t>(2)(3)</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(5,724)</w:t>
            </w:r>
          </w:p>
        </w:tc>
        <w:tc>
          <w:tcPr>
            <w:tcW w:w="8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(11,595)</w:t>
            </w:r>
          </w:p>
        </w:tc>
      </w:tr>
      <w:tr>
        <w:trPr>
          <w:trHeight w:val="24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back (deduct):</w:t>
            </w:r>
          </w:p>
        </w:tc>
        <w:tc>
          <w:tcPr>
            <w:tcW w:w="5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5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7,266</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14,325</w:t>
            </w:r>
          </w:p>
        </w:tc>
      </w:tr>
      <w:tr>
        <w:trPr>
          <w:trHeight w:val="243"/>
        </w:trPr>
        <w:tc>
          <w:tcPr>
            <w:tcW w:w="5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10,898</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22,548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22,330</w:t>
            </w:r>
          </w:p>
        </w:tc>
      </w:tr>
      <w:tr>
        <w:trPr>
          <w:trHeight w:val="27"/>
        </w:trPr>
        <w:tc>
          <w:tcPr>
            <w:tcW w:w="5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(4,067)</w:t>
            </w:r>
          </w:p>
        </w:tc>
      </w:tr>
      <w:tr>
        <w:trPr>
          <w:trHeight w:val="243"/>
        </w:trPr>
        <w:tc>
          <w:tcPr>
            <w:tcW w:w="5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(2,830)</w:t>
            </w:r>
          </w:p>
        </w:tc>
      </w:tr>
      <w:tr>
        <w:trPr>
          <w:trHeight w:val="27"/>
        </w:trPr>
        <w:tc>
          <w:tcPr>
            <w:tcW w:w="50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9"/>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3"/>
                <w:szCs w:val="23"/>
                <w:color w:val="auto"/>
                <w:vertAlign w:val="superscript"/>
              </w:rPr>
              <w:t>(1)(2)</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21,078</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10,809</w:t>
            </w: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36,134</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18,163</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_______________</w:t>
      </w:r>
    </w:p>
    <w:p>
      <w:pPr>
        <w:spacing w:after="0" w:line="64" w:lineRule="exact"/>
        <w:rPr>
          <w:sz w:val="20"/>
          <w:szCs w:val="20"/>
          <w:color w:val="auto"/>
        </w:rPr>
      </w:pPr>
    </w:p>
    <w:p>
      <w:pPr>
        <w:ind w:left="660" w:hanging="328"/>
        <w:spacing w:after="0" w:line="267" w:lineRule="auto"/>
        <w:tabs>
          <w:tab w:leader="none" w:pos="6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Beginning in the third quarter fiscal 2023, we no longer exclude the impact of post-acquisition cash compensation arrangements for certain key acquired employees from our Adjusted EBITDA calculation. We have updated prior period results for comparability.</w:t>
      </w:r>
    </w:p>
    <w:p>
      <w:pPr>
        <w:ind w:left="660" w:hanging="328"/>
        <w:spacing w:after="0" w:line="255" w:lineRule="auto"/>
        <w:tabs>
          <w:tab w:leader="none" w:pos="652"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Net income (loss) and Adjusted EBITDA for the three and six months ended June 30, 2024 include other income of $4.0 million related to our efforts to build and test integrations with the Google Privacy Sandbox.</w:t>
      </w:r>
    </w:p>
    <w:p>
      <w:pPr>
        <w:ind w:left="660" w:hanging="328"/>
        <w:spacing w:after="0" w:line="275" w:lineRule="auto"/>
        <w:tabs>
          <w:tab w:leader="none" w:pos="652"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Amounts for the three and six months ended June 30, 2023 include a provision for bad debt of $5.7 million relating to a DSP buyer of our platform that filed for Chapter 11 bankruptcy.</w:t>
      </w:r>
    </w:p>
    <w:p>
      <w:pPr>
        <w:spacing w:after="0" w:line="6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Although Adjusted EBITDA is used by many investors and securities analysts in their evaluations of companies, it has limitations as an analytical tool, and should not be considered in isolation or as a substitute for analysis of our results of operations as reported under GAAP. Other companies in our industry may calculate Adjusted EBITDA differently than we do, limiting its usefulness as a comparative measure.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financed our operations and capital expenditures primarily through utilization of cash generated from operations as well as sales of equity securities. As of June 30, 2024, we had cash, cash equivalents, and marketable securities of $165.6 million and net working capital, consisting of current assets less current liabilities, of $161.8 million.</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principal uses of cash are funding our operations and other working capital requirements.</w:t>
      </w:r>
    </w:p>
    <w:p>
      <w:pPr>
        <w:spacing w:after="0" w:line="11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believe our existing cash, cash equivalents, marketable securities and anticipated net cash provided by operating activities, together with available borrowings under our credit facility, will be sufficient to meet our working capital requirements for at least the next 12 months. However, if our operating performance during the next 12 months is below our expectations, our liquidity and ability to operate our business could be adversely affected. Our future capital requirements and the adequacy of available funds will depend on many factors, including those set forth under “Risk Factors” in this report and in our Annual Report on Form 10-K for the year ended December 31, 2023. As of June 30, 2024, our material cash requirements included the contractual commitments set forth under “Contractual Obligations and Future Cash Requirements.”</w:t>
      </w:r>
    </w:p>
    <w:p>
      <w:pPr>
        <w:spacing w:after="0" w:line="7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February 2023, our board of directors authorized the 2023 Repurchase Program. Subsequently in February 2024, our board of directors authorized the 2024 Repurchase Program. During the six months ended June 30, 2024, we repurchased 1,777,846 shares of Class A common stock under the 2023 Repurchase Program and 2024 Repurchase Program, collectively, for an aggregate purchase price of $35.9 million. As of June 30, 2024, $79.9 million remained available for future share repurchases under the 2024 Repurchase Program. The U.S. Inflation Reduction Act of 2022 was enacted on August 16, 2022 and requires a one percent excise tax on certain share repurchases in excess of shares issued for employee compensation made after December 31, 2022. For purposes of calculating the excise tax, repurchasing corporations are permitted to net the fair market value of certain stock issuances against the fair market value of stock repurchases during the same taxable year, with certain exceptions. We do not expect this provision to have a material effect on our condensed consolidated financial statements.</w:t>
      </w:r>
    </w:p>
    <w:p>
      <w:pPr>
        <w:spacing w:after="0" w:line="8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the future, we may attempt to raise additional capital through the sale of equity securities or through equity-linked or debt financing arrangements. If we raise additional funds by issuing equity or equity-linked securities, the ownership of our existing stockholders will be diluted. If we raise additional financing by incurring additional indebtedness, we may be subject to increased fixed payment obligations and could also be subject to additional restrictive covenants, such as limitations on our ability to incur additional debt, and other operating restrictions that could adversely impact our ability to conduct our business. Any future indebtedness we incur may result in terms that could be unfavorable to equity investors. We cannot guarantee that we will be able to raise additional capital in the future on favorable terms, or at all. Any inability to raise capital could adversely affect our ability to achieve our business objectives.</w:t>
      </w:r>
    </w:p>
    <w:p>
      <w:pPr>
        <w:spacing w:after="0" w:line="8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global advertising industry experiences seasonal trends that affect the vast majority of participants in the digital advertising ecosystem. Most notably, advertisers have historically spent relatively more in the fourth quarter of the calendar year to coincide with the holiday shopping season, and relatively less in the first quarter. We expect seasonality trends to continue, thereby resulting in seasonality in our revenues and corresponding accounts receivable and accounts payable balances, and our ability to manage our resources in anticipation of these trends will affect our operating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37"/>
        </w:trPr>
        <w:tc>
          <w:tcPr>
            <w:tcW w:w="81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1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gridSpan w:val="3"/>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6"/>
                <w:szCs w:val="16"/>
                <w:color w:val="auto"/>
              </w:rPr>
            </w:pPr>
          </w:p>
        </w:tc>
      </w:tr>
      <w:tr>
        <w:trPr>
          <w:trHeight w:val="37"/>
        </w:trPr>
        <w:tc>
          <w:tcPr>
            <w:tcW w:w="8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36,238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28,602</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6,187</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(35,356)</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(21,634)</w:t>
            </w:r>
          </w:p>
        </w:tc>
      </w:tr>
      <w:tr>
        <w:trPr>
          <w:trHeight w:val="26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(4,988)</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13,155</w:t>
            </w: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cash flows from operating activities are primarily influenced by growth in our operations, increases or decreases in collections from our buyers and related payments to our publishers, as well as our investment in personnel to support the anticipated growth of our business. Cash flows from operating activities have been affected by changes in our working capital, particularly changes in accounts receivable and accounts payable. The timing of cash receipts from buyers and payments to publishers can significantly impact our cash flows from operating activities. In addition, we expect seasonality to impact quarterly cash flows from operating activities.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2024, net cash provided by operating activities of $36.2 million resulted primarily from adjustments for non-cash expenses of $33.6 million, including $22.5 million for depreciation and amortization and $18.8 million for stock-based compensation, a decrease in accounts receivable of $23.9 million, offset by a net loss of $0.5 million, an increase in prepaid expenses and other assets of $3.4 million, a decrease in operating lease liabilities of $3.0 million, and a decrease in accounts payable of $14.8 million.</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2023, net cash provided by operating activities of $28.6 million resulted primarily from adjustments for non-cash expenses of $29.8 million, including $22.3 million for depreciation and amortization and $14.3 million for stock-based compensation, provision for bad debt of $5.7 million relating to a DSP buyer of our platform that filed for Chapter 11 bankruptcy, a decrease in accounts receivable of $41.7 million, offset by a net loss of $11.6 million, and a decrease in accounts payable of $30.1 million.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investing activities primarily included investments in marketable securities, purchases of equipment as we expanded the infrastructure in our third-party data centers, and capitalized internal-use software costs in support of enhancing our platform. Purchases of property and equipment may vary from period-to-period due to the timing of the expansion of our data centers, the addition of headcount, and the development cycles of our software development. As our business grows, we expect our capital expenditures and our investment activity to continue to increase.</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2024, we used $5.9 million in investing activities, consisting of $1.5 million in purchases of property and equipment (primarily data center infrastructure), and $11.5 million of investments in capitalized internal-use software, and a net decrease in investments of marketable securities of $7.2 million.</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2023, net cash provided by investing activities of $6.2 million was primarily due to sales of marketable securities prior to maturity of $18.9 million, and decreases due to $2.6 million in purchases of property and equipment (primarily data center infrastructure), and $9.9 million of investments in capitalized internal-use software.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2024, net cash used in financing activities of $35.4 million was primarily due to purchases of treasury stock of $35.9 million, payment of a business combination indemnification holdback of $2.1 million, offset by proceeds from employee stock option exercises of $1.3 million and proceeds from our employee stock purchase plan of $1.5 million.</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six months ended June 30, 2023, net cash used in financing activities of $21.6 million was primarily due to purchases of treasury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Future Cash Requirements</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principal contractual obligations consist of non-cancelable leases for our various facilities. In certain cases, the terms of the lease agreements provide for rental payments that increase over time.</w:t>
      </w:r>
    </w:p>
    <w:p>
      <w:pPr>
        <w:spacing w:after="0" w:line="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were no material changes to our contractual obligations disclosed in our Annual Report on Form 10-K for the fiscal year ended December 31, 2023.</w:t>
      </w:r>
    </w:p>
    <w:p>
      <w:pPr>
        <w:spacing w:after="0" w:line="10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June 30, 2024, we had $5.1 million of long-term income tax liabilities, including interest, related to uncertain tax positions. Because of the high degree of uncertainty regarding the settlement of these liabilities, we are unable to estimate the years in which future cash outflows may occur.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prepare our condensed consolidated financial statements in accordance with GAAP. The preparation of the condensed consolidated financial statements requires us to make estimates and assumptions that affect the amounts of assets and liabilities reported, disclosures about contingent assets and liabilities, and reported amounts of revenue and expenses. We evaluate our estimates and assumptions on an ongoing basis using historical experience and other factors, and adjust those estimates and assumptions when facts and circumstances dictate. Actual results could materially differ from these estimates and assumptions.</w:t>
      </w:r>
    </w:p>
    <w:p>
      <w:pPr>
        <w:spacing w:after="0" w:line="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Besides the update to our allowance for credit losses as included within "Note 2 – Basis of Presentation and Summary of Significant Accounting Policies" to the condensed consolidated financial statements in this report, there have been no significant changes in our critical accounting policies and estimates from those disclosed in our audited consolidated financial statements and notes thereto in our Annual Report on Form 10-K for the year ended December 31, 2023.</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exposed to certain market risks in the ordinary course of our business. These risks primarily include:</w:t>
      </w:r>
    </w:p>
    <w:p>
      <w:pPr>
        <w:spacing w:after="0" w:line="1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had cash and cash equivalents of $73.5 million and marketable securities of $92.1 million as of June 30, 2024, which consisted of bank deposits, money market accounts, time deposits, commercial paper, U.S. Treasury and government debt securities. The primary objective of our investment activities is to preserve principal while maximizing income without significantly increasing risk. Because our cash, cash equivalents, and marketable securities have a relatively short maturity, our portfolio’s fair value is relatively insensitive to interest rate changes. Our line of credit is at variable interest rates. We had no amounts outstanding under our credit facility as of June 30, 2024. We do not believe that an increase or decrease in interest rates of 100 basis points would have a material effect on our operating results or financial condition. In future periods, we will continue to evaluate our investment policy relative to our overall objectives.</w:t>
      </w:r>
    </w:p>
    <w:p>
      <w:pPr>
        <w:spacing w:after="0" w:line="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Currency Exchange Risk</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condensed consolidated results of operations and cash flows are subject to fluctuations due to changes in foreign currency exchange rates. Historically, the majority of our revenue contracts have been denominated in U.S. Dollars. Our expenses are generally denominated in the currencies in which our operations are located, primarily the U.S. Dollar, Indian Rupee and British Pound. To date, we have not entered into any hedging arrangements with respect to foreign currency risk or other derivative instruments. In the event our foreign sales and expenses increase, our operating results may be more greatly affected by foreign currency exchange rate fluctuations, which can affect our operating income. A hypothetical 10% change in the U.S. Dollar to India Rupee exchange rate could result in a change of $1.0 million in our operating loss for the six months ended June 30, 2024. A hypothetical 10% change in the U.S. Dollar to British Pound exchange rate could result in a change of $1.1 million in our operating loss for the six months ended June 30, 2024.</w:t>
      </w:r>
    </w:p>
    <w:p>
      <w:pPr>
        <w:spacing w:after="0" w:line="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21"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results of operations, or financial condition. If our costs were to become subject to significant inflationary pressures, for example in India, we might not be able to fully offset such higher costs through price increases. Our inability or failure to do so could adversely affect our business, results of operations, and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has evaluated the effectiveness of our disclosure controls and procedures (as defined in Rules 13a-15(e) and 15d-15(e) under the Exchange Act), as of June 30, 2024. Based on such evaluation, our principal executive officer and principal financial officer have concluded that, as of such date, our disclosure controls and procedures were effective at a reasonable assurance level.</w:t>
      </w:r>
    </w:p>
    <w:p>
      <w:pPr>
        <w:spacing w:after="0" w:line="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Rules 13a-15(d) and 15d-15(d) under the Exchange Act) that occurred during the quarter ended June 30, 2024 that has materially affected, or is reasonably likely to materially affect, our internal control over financial reporting.</w:t>
      </w:r>
    </w:p>
    <w:p>
      <w:pPr>
        <w:spacing w:after="0" w:line="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 and Procedures</w:t>
      </w:r>
    </w:p>
    <w:p>
      <w:pPr>
        <w:spacing w:after="0" w:line="12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management, including our principal executive officer and principal financial officer, do not expect that our disclosure controls or our internal control over financial reporting will prevent all errors and all fraud. A control system, no matter how well designated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From time to time, we may become involved in legal or regulatory proceedings, lawsuits and other claims arising in the ordinary course of our business. In view of the inherent difficulty of predicting the outcome of such matters, we cannot state what the eventual outcome of such matters will be. However, based on our knowledge, we are not presently a party to any legal proceedings that, in the opinion of our management, would individually or taken together have a material adverse effect on our business, operating results, financial condition, or cash flows. Regardless of outcome, litigation can have an adverse impact on us due to defense and settlement costs, diversion of management resources, negative publicity and reputational harm, and other factors. For additional information, see Note 8, “Commitments and Contingencies,” to our condensed consolidated financial statements included elsewhere in this Quarterly Report on Form 10-Q.</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The Company’s business, operations, financial results, and our stock price can be affected by a number of factors, whether currently known or unknown, including those described in Part I, Item 1A, "Risk Factors" in our Annual Report on Form 10-K for the year ended December 31, 2023. When any one or more of these risks materialize from time to time, such developments could adversely affect our business, financial condition, results of operations, cash flows, and the trading price of our stock. Below are material changes to our risk factors since our Annual Report on Form 10-K for the year ended December 31,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Results of Operations and Growth</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existing customers do not expand their usage of our platform, or if we fail to attract new publishers and buyers, our growth will suffer. Moreover, any decrease in the use of the advertising channels that we primarily depend on, or failure to expand into emerging channels, could adversely affect our business, results of operations, and financial condition.</w:t>
      </w:r>
    </w:p>
    <w:p>
      <w:pPr>
        <w:spacing w:after="0" w:line="6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depend upon our buyer and publisher relationships, including channel partners, which aggregate large numbers of smaller publishers, to provide advertising space which we can offer to prospective buyers to continue to grow the usage of our platform. In doing so, we compete for both supply and demand with larger, well-established companies that may have technological or other advantages stemming from their broader experience in the market. We must continue to adapt and improve our technology to compete effectively, and customers have not always embraced our offerings due to various factors, including switching costs from moving away from pre-existing technology integrations, such as already implemented header bidding wrappers, and lack of awareness of our omnichannel offerings. Although we believe we provide superior transparency and accountability to such competitors, certain customers may make technological or financial demands that we are unable or unwilling to meet. These and other factors may make it difficult for us to increase our business with our publishers and buyers, cause some buyers to reduce their spending with us, or increase our costs of doing business, which could adversely affect our business, results of operations, and financial condition.</w:t>
      </w:r>
    </w:p>
    <w:p>
      <w:pPr>
        <w:spacing w:after="0" w:line="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 relatively small number of premium publishers have historically accounted for a significant portion of the ad impressions sold on our platform, as well as a significant portion of our revenue from publishers, including a relatively small number of channel partners.</w:t>
      </w:r>
    </w:p>
    <w:p>
      <w:pPr>
        <w:spacing w:after="0" w:line="5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generally do not have minimum commitments from publishers. As a result, the amount, quality, and cost of ad impressions available to us can change at any time with little or no prior notice, and we cannot assure you that we will have access to a consistent volume or quality of ad impressions at a reasonable cost, or at all. We depend upon a relatively small number of premium publishers and channel partners and expect to continue to do so for the foreseeable future. To support our continued growth, we seek to add additional publishers and buyers to our platform and to expand current utilization with our existing publishers and buyers. Any disruptions in our relationships with premium publishers, buyers, or our largest channel partners could adversely affect our business, results of operations, and financial condition. If we cannot retain or add individual publishers with valuable ad impressions, or if such publishers decide not to make their valuable ad impressions available to us, then our buyers may be less inclined to use our platform, which could adversely affect our business, results of operations, and financial condition.</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 limited number of large demand side platforms (“DSPs”) – The Trade Desk and Google DV360 in particular – account for a significant portion of the ad impressions purchased on our platform. We depend upon these DSPs for a large percentage of impressions purchased and expect to do so for the foreseeable future. We have no minimum commitments from buyers to spend on our platform, so the amount of demand available to us and our ability to generate revenue from that demand can change at any time with little or no prior notice, and we cannot assure you that we will have access to a consistent volume or quality of ad campaigns or demand for our ad impressions at a reasonable or consistent price, or at all. A change in the pricing strategies, bidding algorithms or go-to-market efforts by one of these large DSPs could disproportionately impact our business results, including revenues. For example, bidding methodology changes implemented by one of our buyers in the second fiscal quarter of 2024 impacted our revenue for the quarter. Any disruptions in our relationships with DSPs, agencies, advertisers, or buyers could adversely affect our business, results of operations, and financial condition. If a buyer or group of buyers representing a significant portion of the demand in our marketplace decides to materially reduce use of our platform or the manner in which they use our platform, it could cause an immediate and significant decline in our revenue and profitability and adversely affect our business, results of operations, and financial condition.</w:t>
      </w:r>
    </w:p>
    <w:p>
      <w:pPr>
        <w:spacing w:after="0" w:line="8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Historically, our buyers have predominantly used our platform to purchase mobile, display, and video advertising inventory from our publishers. We expect that these will continue to be significant channels used by our customers for digital advertising in the future. We also believe that our revenue growth may depend on our ability to expand within mobile, video, and in particular, CTV, and we are continuing to enhance such channels. We may not be able to accurately predict changes in overall advertiser demand for the channels in which we operate and cannot assure you that our investment in formats will correspond to any such changes or shifts in demand. Any decrease in the use of mobile, display, and video advertising, whether due to customers losing confidence in the value or effectiveness of such channels, regulatory restrictions or other causes, or any inability to further penetrate CTV or enter new and emerging advertising channels, could adversely affect our business, results of operations, and financial condition.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may fluctuate significantly and may not meet our expectations or those of securities analysts and investors.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operate in an evolving industry with ever-changing customer needs and behavior, and, as a result, our business has evolved over time such that our operating history makes it difficult to evaluate our business and future prospects. Our results of operations have fluctuated in the past, and future results of operations are likely to fluctuate as well. Although we have experienced prolonged revenue growth, we may not be able to sustain this growth rate, current revenue levels, or profitability. In addition, because our business is evolving, our historical results of operations may be of limited utility in assessing our future prospects. We expect to face challenges, risks, and difficulties frequently experienced by growing companies in rapidly developing industries, including those relating to:</w:t>
      </w:r>
    </w:p>
    <w:p>
      <w:pPr>
        <w:spacing w:after="0" w:line="79"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demand and pricing for ad impressions sold on our platform;</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access to valuable ad impressions from publishers;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responding to evolving industry standards and government regulations that impact our business, particularly in the areas of data protection and consumer privacy;</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maintaining, and expanding relationships with publishers, DSPs, agencies, advertisers, and buyers;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 in our business;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innovating and developing new solutions that are adopted by and meet the needs of publishers, DSPs, agencies, advertisers, and buyers;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against companies with a larger customer base or greater financial or technical resources;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the buying and selling of ad impressions;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pricing policies of publishers and competitors;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bidding behavior of buyers of ad impressions;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demand due to changes in macroeconomic environment, including as a result of an economic downturn, recession, inflation, changes in interest rates or foreign exchange rates, disruptions to supply chains, or otherwise;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expanding our business internationally;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integrating, and retaining qualified and motivated employees, particularly engineers.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Any one or more of the factors above may result in significant fluctuations in our results of operations. You should not rely on our past results as an indicator of our future performance.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Related to Data Collection and the Use of Collected Data</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disabling of third-party cookies, and the potential of others to develop proprietary replacements for cookies, could adversely affect our business, results of operations, and financial condition.</w:t>
      </w:r>
    </w:p>
    <w:p>
      <w:pPr>
        <w:spacing w:after="0" w:line="5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Some prominent technology companies have also announced intentions to discontinue the use of third-party cookies, and to develop alternative methods and mechanisms for targeting advertisements. For example, in January 2024, Google disabled third-party cookies for up to 1% of Chrome users and also initially announced plans to disable cookies for additional users beginning in the third quarter of 2024. However, in July 2024, Google announced it will no longer depreciate its use of third-party cookies in Chrome and instead ask users to opt-in or opt-out of cookies in Chrome. If companies are forced to rely on targeting methodologies other than cookies, such companies may instead rely on proprietary products, algorithms, or statistical methods to track consumers without cookies, or may utilize log-in credentials entered by consumers into other web properties owned by those companies such as their email services to track web usage, including usage across multiple devices.</w:t>
      </w:r>
    </w:p>
    <w:p>
      <w:pPr>
        <w:spacing w:after="0" w:line="8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Additionally, such companies may build different and potentially proprietary consumer tracking methods into their widely used web browsers, which we may not be able to effectively use for our publishers and buyers. Many applications and other devices also allow consumers to avoid receiving advertisements by paying for subscriptions or other downloads. Although we believe our platform is well-positioned to adapt and continue to provide key data insights to our publishers without cookies, this transition could be more disruptive, slower, or more expensive than we currently anticipate, or publishers and buyers could elect to move a larger proportion of their advertising inventory or spend to these providers to take advantage of proprietary consumer tracking methods, any of which could materially affect our ability to serve our customers, publishers, and buyers, and our business, results of operations, and financial condition could be adversely affected.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 OF EQUITY SECURITIES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information about our repurchases of our Class A common stock during the three months ended June 30,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2700" w:type="dxa"/>
            <w:vAlign w:val="bottom"/>
            <w:shd w:val="clear" w:color="auto" w:fill="CCEEFF"/>
          </w:tcPr>
          <w:p>
            <w:pPr>
              <w:spacing w:after="0"/>
              <w:rPr>
                <w:sz w:val="24"/>
                <w:szCs w:val="24"/>
                <w:color w:val="auto"/>
              </w:rPr>
            </w:pPr>
          </w:p>
        </w:tc>
        <w:tc>
          <w:tcPr>
            <w:tcW w:w="2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4"/>
                <w:szCs w:val="24"/>
                <w:color w:val="auto"/>
              </w:rPr>
            </w:pP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Total Number of Shares</w:t>
            </w:r>
          </w:p>
        </w:tc>
        <w:tc>
          <w:tcPr>
            <w:tcW w:w="260" w:type="dxa"/>
            <w:vAlign w:val="bottom"/>
            <w:shd w:val="clear" w:color="auto" w:fill="CCEEFF"/>
          </w:tcPr>
          <w:p>
            <w:pPr>
              <w:spacing w:after="0"/>
              <w:rPr>
                <w:sz w:val="24"/>
                <w:szCs w:val="24"/>
                <w:color w:val="auto"/>
              </w:rPr>
            </w:pPr>
          </w:p>
        </w:tc>
        <w:tc>
          <w:tcPr>
            <w:tcW w:w="174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rPr>
              <w:t>Approximate Dollar</w:t>
            </w:r>
          </w:p>
        </w:tc>
      </w:tr>
      <w:tr>
        <w:trPr>
          <w:trHeight w:val="216"/>
        </w:trPr>
        <w:tc>
          <w:tcPr>
            <w:tcW w:w="270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Purchased as Part of</w:t>
            </w:r>
          </w:p>
        </w:tc>
        <w:tc>
          <w:tcPr>
            <w:tcW w:w="200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Value of Shares that May</w:t>
            </w:r>
          </w:p>
        </w:tc>
      </w:tr>
      <w:tr>
        <w:trPr>
          <w:trHeight w:val="213"/>
        </w:trPr>
        <w:tc>
          <w:tcPr>
            <w:tcW w:w="2700" w:type="dxa"/>
            <w:vAlign w:val="bottom"/>
            <w:shd w:val="clear" w:color="auto" w:fill="CCEEFF"/>
          </w:tcPr>
          <w:p>
            <w:pPr>
              <w:spacing w:after="0"/>
              <w:rPr>
                <w:sz w:val="18"/>
                <w:szCs w:val="18"/>
                <w:color w:val="auto"/>
              </w:rPr>
            </w:pPr>
          </w:p>
        </w:tc>
        <w:tc>
          <w:tcPr>
            <w:tcW w:w="2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Total Number of Shares</w:t>
            </w:r>
          </w:p>
        </w:tc>
        <w:tc>
          <w:tcPr>
            <w:tcW w:w="260" w:type="dxa"/>
            <w:vAlign w:val="bottom"/>
            <w:shd w:val="clear" w:color="auto" w:fill="CCEEFF"/>
          </w:tcPr>
          <w:p>
            <w:pPr>
              <w:spacing w:after="0"/>
              <w:rPr>
                <w:sz w:val="18"/>
                <w:szCs w:val="18"/>
                <w:color w:val="auto"/>
              </w:rPr>
            </w:pPr>
          </w:p>
        </w:tc>
        <w:tc>
          <w:tcPr>
            <w:tcW w:w="20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Average Price Paid Per</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Publicly Announced Plans</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Yet Be Purchased Under</w:t>
            </w:r>
          </w:p>
        </w:tc>
      </w:tr>
      <w:tr>
        <w:trPr>
          <w:trHeight w:val="265"/>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Period</w:t>
            </w:r>
          </w:p>
        </w:tc>
        <w:tc>
          <w:tcPr>
            <w:tcW w:w="214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Purchased</w:t>
            </w:r>
          </w:p>
        </w:tc>
        <w:tc>
          <w:tcPr>
            <w:tcW w:w="260" w:type="dxa"/>
            <w:vAlign w:val="bottom"/>
            <w:shd w:val="clear" w:color="auto" w:fill="CCEEFF"/>
          </w:tcPr>
          <w:p>
            <w:pPr>
              <w:spacing w:after="0"/>
              <w:rPr>
                <w:sz w:val="23"/>
                <w:szCs w:val="23"/>
                <w:color w:val="auto"/>
              </w:rPr>
            </w:pPr>
          </w:p>
        </w:tc>
        <w:tc>
          <w:tcPr>
            <w:tcW w:w="206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Share</w:t>
            </w:r>
            <w:r>
              <w:rPr>
                <w:rFonts w:ascii="Times New Roman" w:cs="Times New Roman" w:eastAsia="Times New Roman" w:hAnsi="Times New Roman"/>
                <w:sz w:val="23"/>
                <w:szCs w:val="23"/>
                <w:color w:val="auto"/>
                <w:vertAlign w:val="superscript"/>
              </w:rPr>
              <w:t>(2)</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or Programs</w:t>
            </w:r>
            <w:r>
              <w:rPr>
                <w:rFonts w:ascii="Times New Roman" w:cs="Times New Roman" w:eastAsia="Times New Roman" w:hAnsi="Times New Roman"/>
                <w:sz w:val="23"/>
                <w:szCs w:val="23"/>
                <w:color w:val="auto"/>
                <w:w w:val="95"/>
                <w:vertAlign w:val="superscript"/>
              </w:rPr>
              <w:t>(1)</w:t>
            </w:r>
          </w:p>
        </w:tc>
        <w:tc>
          <w:tcPr>
            <w:tcW w:w="20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the Plans or Programs</w:t>
            </w:r>
            <w:r>
              <w:rPr>
                <w:rFonts w:ascii="Times New Roman" w:cs="Times New Roman" w:eastAsia="Times New Roman" w:hAnsi="Times New Roman"/>
                <w:sz w:val="23"/>
                <w:szCs w:val="23"/>
                <w:color w:val="auto"/>
                <w:w w:val="97"/>
                <w:vertAlign w:val="superscript"/>
              </w:rPr>
              <w:t>(1)</w:t>
            </w:r>
          </w:p>
        </w:tc>
      </w:tr>
      <w:tr>
        <w:trPr>
          <w:trHeight w:val="243"/>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1, 2024 – April 30, 2024</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174,160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22.91</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174,160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96,047,747</w:t>
            </w:r>
          </w:p>
        </w:tc>
      </w:tr>
      <w:tr>
        <w:trPr>
          <w:trHeight w:val="27"/>
        </w:trPr>
        <w:tc>
          <w:tcPr>
            <w:tcW w:w="27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1, 2024 – May 31, 2024</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545,710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23.20</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545,710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83,387,825</w:t>
            </w:r>
          </w:p>
        </w:tc>
      </w:tr>
      <w:tr>
        <w:trPr>
          <w:trHeight w:val="243"/>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1, 2024 – June 30, 2024</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163,325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21.57</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163,325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79,864,565</w:t>
            </w:r>
          </w:p>
        </w:tc>
      </w:tr>
      <w:tr>
        <w:trPr>
          <w:trHeight w:val="27"/>
        </w:trPr>
        <w:tc>
          <w:tcPr>
            <w:tcW w:w="270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r>
      <w:tr>
        <w:trPr>
          <w:trHeight w:val="288"/>
        </w:trPr>
        <w:tc>
          <w:tcPr>
            <w:tcW w:w="2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883,195</w:t>
            </w:r>
          </w:p>
        </w:tc>
        <w:tc>
          <w:tcPr>
            <w:tcW w:w="260" w:type="dxa"/>
            <w:vAlign w:val="bottom"/>
            <w:tcBorders>
              <w:bottom w:val="single" w:sz="8" w:color="CCEEFF"/>
            </w:tcBorders>
            <w:shd w:val="clear" w:color="auto" w:fill="CCEEFF"/>
          </w:tcPr>
          <w:p>
            <w:pPr>
              <w:spacing w:after="0"/>
              <w:rPr>
                <w:sz w:val="24"/>
                <w:szCs w:val="24"/>
                <w:color w:val="auto"/>
              </w:rPr>
            </w:pPr>
          </w:p>
        </w:tc>
        <w:tc>
          <w:tcPr>
            <w:tcW w:w="2060" w:type="dxa"/>
            <w:vAlign w:val="bottom"/>
            <w:tcBorders>
              <w:bottom w:val="single" w:sz="8" w:color="CCEEFF"/>
            </w:tcBorders>
            <w:shd w:val="clear" w:color="auto" w:fill="CCEEFF"/>
          </w:tcPr>
          <w:p>
            <w:pPr>
              <w:spacing w:after="0"/>
              <w:rPr>
                <w:sz w:val="24"/>
                <w:szCs w:val="24"/>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883,195</w:t>
            </w:r>
          </w:p>
        </w:tc>
        <w:tc>
          <w:tcPr>
            <w:tcW w:w="260" w:type="dxa"/>
            <w:vAlign w:val="bottom"/>
            <w:tcBorders>
              <w:bottom w:val="single" w:sz="8" w:color="CCEEFF"/>
            </w:tcBorders>
            <w:shd w:val="clear" w:color="auto" w:fill="CCEEFF"/>
          </w:tcPr>
          <w:p>
            <w:pPr>
              <w:spacing w:after="0"/>
              <w:rPr>
                <w:sz w:val="24"/>
                <w:szCs w:val="24"/>
                <w:color w:val="auto"/>
              </w:rPr>
            </w:pPr>
          </w:p>
        </w:tc>
        <w:tc>
          <w:tcPr>
            <w:tcW w:w="1740" w:type="dxa"/>
            <w:vAlign w:val="bottom"/>
            <w:tcBorders>
              <w:bottom w:val="single" w:sz="8" w:color="CCEEFF"/>
            </w:tcBorders>
            <w:shd w:val="clear" w:color="auto" w:fill="CCEEFF"/>
          </w:tcPr>
          <w:p>
            <w:pPr>
              <w:spacing w:after="0"/>
              <w:rPr>
                <w:sz w:val="24"/>
                <w:szCs w:val="24"/>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amounts above do not include the 1% excise tax on stock repurchases enacted by the Inflation Reduction Act of 2022.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48" w:lineRule="exact"/>
        <w:rPr>
          <w:sz w:val="20"/>
          <w:szCs w:val="20"/>
          <w:color w:val="auto"/>
        </w:rPr>
      </w:pPr>
    </w:p>
    <w:p>
      <w:pPr>
        <w:jc w:val="both"/>
        <w:ind w:left="660" w:hanging="328"/>
        <w:spacing w:after="0" w:line="261" w:lineRule="auto"/>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February 28, 2023, we announced the authorization of a share repurchase program for the repurchase of shares of our Class A common stock in an aggregate amount of up to $75 million through December 31, 2024. On February 22, 2024, we announced the authorization of an additional share repurchase program for the repurchase of shares of our Class A common stock in an aggregate amount of up to $100 million through December 31, 2025.</w:t>
      </w:r>
    </w:p>
    <w:p>
      <w:pPr>
        <w:spacing w:after="0" w:line="1"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Average price paid per share includes costs associated with the repurchases.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 Trading Plans</w:t>
      </w:r>
    </w:p>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the second quarter of 2024, the following trading plans were adopted or terminated:</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2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Trading Arrangement</w:t>
            </w: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Non-Rule 10b5-</w:t>
            </w:r>
          </w:p>
        </w:tc>
        <w:tc>
          <w:tcPr>
            <w:tcW w:w="14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Total Shares to</w:t>
            </w: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10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Name</w:t>
            </w:r>
          </w:p>
        </w:tc>
        <w:tc>
          <w:tcPr>
            <w:tcW w:w="14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Title</w:t>
            </w:r>
          </w:p>
        </w:tc>
        <w:tc>
          <w:tcPr>
            <w:tcW w:w="142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Action</w:t>
            </w:r>
          </w:p>
        </w:tc>
        <w:tc>
          <w:tcPr>
            <w:tcW w:w="142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Date</w:t>
            </w:r>
          </w:p>
        </w:tc>
        <w:tc>
          <w:tcPr>
            <w:tcW w:w="14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Rule 10b5-1*</w:t>
            </w:r>
          </w:p>
        </w:tc>
        <w:tc>
          <w:tcPr>
            <w:tcW w:w="132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be Sold</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Expiration Date</w:t>
            </w:r>
          </w:p>
        </w:tc>
        <w:tc>
          <w:tcPr>
            <w:tcW w:w="0" w:type="dxa"/>
            <w:vAlign w:val="bottom"/>
          </w:tcPr>
          <w:p>
            <w:pPr>
              <w:spacing w:after="0"/>
              <w:rPr>
                <w:sz w:val="1"/>
                <w:szCs w:val="1"/>
                <w:color w:val="auto"/>
              </w:rPr>
            </w:pPr>
          </w:p>
        </w:tc>
      </w:tr>
      <w:tr>
        <w:trPr>
          <w:trHeight w:val="323"/>
        </w:trPr>
        <w:tc>
          <w:tcPr>
            <w:tcW w:w="9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Steven</w:t>
            </w:r>
          </w:p>
        </w:tc>
        <w:tc>
          <w:tcPr>
            <w:tcW w:w="100" w:type="dxa"/>
            <w:vAlign w:val="bottom"/>
          </w:tcPr>
          <w:p>
            <w:pPr>
              <w:spacing w:after="0"/>
              <w:rPr>
                <w:sz w:val="24"/>
                <w:szCs w:val="24"/>
                <w:color w:val="auto"/>
              </w:rPr>
            </w:pPr>
          </w:p>
        </w:tc>
        <w:tc>
          <w:tcPr>
            <w:tcW w:w="1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Chief Financial</w:t>
            </w:r>
          </w:p>
        </w:tc>
        <w:tc>
          <w:tcPr>
            <w:tcW w:w="80" w:type="dxa"/>
            <w:vAlign w:val="bottom"/>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Pantelick </w:t>
            </w:r>
            <w:r>
              <w:rPr>
                <w:rFonts w:ascii="Times New Roman" w:cs="Times New Roman" w:eastAsia="Times New Roman" w:hAnsi="Times New Roman"/>
                <w:sz w:val="23"/>
                <w:szCs w:val="23"/>
                <w:color w:val="auto"/>
                <w:vertAlign w:val="superscript"/>
              </w:rPr>
              <w:t>(2)</w:t>
            </w: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Officer</w:t>
            </w: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Adopted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5/9/2024</w:t>
            </w:r>
          </w:p>
        </w:tc>
        <w:tc>
          <w:tcPr>
            <w:tcW w:w="100" w:type="dxa"/>
            <w:vAlign w:val="bottom"/>
          </w:tcPr>
          <w:p>
            <w:pPr>
              <w:spacing w:after="0"/>
              <w:rPr>
                <w:sz w:val="23"/>
                <w:szCs w:val="23"/>
                <w:color w:val="auto"/>
              </w:rPr>
            </w:pPr>
          </w:p>
        </w:tc>
        <w:tc>
          <w:tcPr>
            <w:tcW w:w="1400" w:type="dxa"/>
            <w:vAlign w:val="bottom"/>
            <w:gridSpan w:val="2"/>
          </w:tcPr>
          <w:p>
            <w:pPr>
              <w:jc w:val="center"/>
              <w:ind w:right="80"/>
              <w:spacing w:after="0" w:line="265" w:lineRule="exact"/>
              <w:rPr>
                <w:sz w:val="20"/>
                <w:szCs w:val="20"/>
                <w:color w:val="auto"/>
              </w:rPr>
            </w:pPr>
            <w:r>
              <w:rPr>
                <w:rFonts w:ascii="Times New Roman" w:cs="Times New Roman" w:eastAsia="Times New Roman" w:hAnsi="Times New Roman"/>
                <w:sz w:val="30"/>
                <w:szCs w:val="30"/>
                <w:color w:val="auto"/>
                <w:vertAlign w:val="subscript"/>
              </w:rPr>
              <w:t>X</w:t>
            </w:r>
            <w:r>
              <w:rPr>
                <w:rFonts w:ascii="Times New Roman" w:cs="Times New Roman" w:eastAsia="Times New Roman" w:hAnsi="Times New Roman"/>
                <w:sz w:val="11"/>
                <w:szCs w:val="11"/>
                <w:color w:val="auto"/>
              </w:rPr>
              <w:t xml:space="preserve"> (1)</w:t>
            </w: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146,753</w:t>
            </w:r>
          </w:p>
        </w:tc>
        <w:tc>
          <w:tcPr>
            <w:tcW w:w="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7/15/2025</w:t>
            </w:r>
          </w:p>
        </w:tc>
        <w:tc>
          <w:tcPr>
            <w:tcW w:w="0" w:type="dxa"/>
            <w:vAlign w:val="bottom"/>
          </w:tcPr>
          <w:p>
            <w:pPr>
              <w:spacing w:after="0"/>
              <w:rPr>
                <w:sz w:val="1"/>
                <w:szCs w:val="1"/>
                <w:color w:val="auto"/>
              </w:rPr>
            </w:pPr>
          </w:p>
        </w:tc>
      </w:tr>
      <w:tr>
        <w:trPr>
          <w:trHeight w:val="333"/>
        </w:trPr>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Paulina</w:t>
            </w:r>
          </w:p>
        </w:tc>
        <w:tc>
          <w:tcPr>
            <w:tcW w:w="14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Growth</w:t>
            </w:r>
          </w:p>
        </w:tc>
        <w:tc>
          <w:tcPr>
            <w:tcW w:w="13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000" w:type="dxa"/>
            <w:vAlign w:val="bottom"/>
            <w:gridSpan w:val="2"/>
            <w:vMerge w:val="restart"/>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Klimenko</w:t>
            </w:r>
          </w:p>
        </w:tc>
        <w:tc>
          <w:tcPr>
            <w:tcW w:w="1400" w:type="dxa"/>
            <w:vAlign w:val="bottom"/>
            <w:gridSpan w:val="2"/>
            <w:vMerge w:val="continue"/>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0" w:type="dxa"/>
            <w:vAlign w:val="bottom"/>
            <w:gridSpan w:val="2"/>
            <w:vMerge w:val="restart"/>
            <w:shd w:val="clear" w:color="auto" w:fill="CCEEFF"/>
          </w:tcPr>
          <w:p>
            <w:pPr>
              <w:jc w:val="center"/>
              <w:ind w:right="80"/>
              <w:spacing w:after="0" w:line="396" w:lineRule="exact"/>
              <w:rPr>
                <w:sz w:val="20"/>
                <w:szCs w:val="20"/>
                <w:color w:val="auto"/>
              </w:rPr>
            </w:pPr>
            <w:r>
              <w:rPr>
                <w:rFonts w:ascii="Times New Roman" w:cs="Times New Roman" w:eastAsia="Times New Roman" w:hAnsi="Times New Roman"/>
                <w:sz w:val="35"/>
                <w:szCs w:val="35"/>
                <w:color w:val="auto"/>
                <w:w w:val="94"/>
                <w:vertAlign w:val="subscript"/>
              </w:rPr>
              <w:t>X</w:t>
            </w:r>
            <w:r>
              <w:rPr>
                <w:rFonts w:ascii="Times New Roman" w:cs="Times New Roman" w:eastAsia="Times New Roman" w:hAnsi="Times New Roman"/>
                <w:sz w:val="12"/>
                <w:szCs w:val="12"/>
                <w:color w:val="auto"/>
                <w:w w:val="94"/>
              </w:rPr>
              <w:t xml:space="preserve"> (1)</w:t>
            </w: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45"/>
        </w:trPr>
        <w:tc>
          <w:tcPr>
            <w:tcW w:w="1000" w:type="dxa"/>
            <w:vAlign w:val="bottom"/>
            <w:gridSpan w:val="2"/>
            <w:vMerge w:val="continue"/>
            <w:shd w:val="clear" w:color="auto" w:fill="CCEEFF"/>
          </w:tcPr>
          <w:p>
            <w:pPr>
              <w:spacing w:after="0"/>
              <w:rPr>
                <w:sz w:val="3"/>
                <w:szCs w:val="3"/>
                <w:color w:val="auto"/>
              </w:rPr>
            </w:pPr>
          </w:p>
        </w:tc>
        <w:tc>
          <w:tcPr>
            <w:tcW w:w="14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Officer</w:t>
            </w:r>
          </w:p>
        </w:tc>
        <w:tc>
          <w:tcPr>
            <w:tcW w:w="14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Adopted</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5/24/2024</w:t>
            </w:r>
          </w:p>
        </w:tc>
        <w:tc>
          <w:tcPr>
            <w:tcW w:w="100" w:type="dxa"/>
            <w:vAlign w:val="bottom"/>
            <w:shd w:val="clear" w:color="auto" w:fill="CCEEFF"/>
          </w:tcPr>
          <w:p>
            <w:pPr>
              <w:spacing w:after="0"/>
              <w:rPr>
                <w:sz w:val="3"/>
                <w:szCs w:val="3"/>
                <w:color w:val="auto"/>
              </w:rPr>
            </w:pPr>
          </w:p>
        </w:tc>
        <w:tc>
          <w:tcPr>
            <w:tcW w:w="1400" w:type="dxa"/>
            <w:vAlign w:val="bottom"/>
            <w:gridSpan w:val="2"/>
            <w:vMerge w:val="continue"/>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72,244</w:t>
            </w:r>
          </w:p>
        </w:tc>
        <w:tc>
          <w:tcPr>
            <w:tcW w:w="80" w:type="dxa"/>
            <w:vAlign w:val="bottom"/>
            <w:shd w:val="clear" w:color="auto" w:fill="CCEEFF"/>
          </w:tcPr>
          <w:p>
            <w:pPr>
              <w:spacing w:after="0"/>
              <w:rPr>
                <w:sz w:val="3"/>
                <w:szCs w:val="3"/>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7/31/2025</w:t>
            </w:r>
          </w:p>
        </w:tc>
        <w:tc>
          <w:tcPr>
            <w:tcW w:w="0" w:type="dxa"/>
            <w:vAlign w:val="bottom"/>
          </w:tcPr>
          <w:p>
            <w:pPr>
              <w:spacing w:after="0"/>
              <w:rPr>
                <w:sz w:val="1"/>
                <w:szCs w:val="1"/>
                <w:color w:val="auto"/>
              </w:rPr>
            </w:pPr>
          </w:p>
        </w:tc>
      </w:tr>
      <w:tr>
        <w:trPr>
          <w:trHeight w:val="216"/>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Andrew</w:t>
            </w: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Woods </w:t>
            </w:r>
            <w:r>
              <w:rPr>
                <w:rFonts w:ascii="Times New Roman" w:cs="Times New Roman" w:eastAsia="Times New Roman" w:hAnsi="Times New Roman"/>
                <w:sz w:val="23"/>
                <w:szCs w:val="23"/>
                <w:color w:val="auto"/>
                <w:vertAlign w:val="superscript"/>
              </w:rPr>
              <w:t>(2)</w:t>
            </w: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Counsel</w:t>
            </w: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Adopted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6/4/2024</w:t>
            </w:r>
          </w:p>
        </w:tc>
        <w:tc>
          <w:tcPr>
            <w:tcW w:w="100" w:type="dxa"/>
            <w:vAlign w:val="bottom"/>
          </w:tcPr>
          <w:p>
            <w:pPr>
              <w:spacing w:after="0"/>
              <w:rPr>
                <w:sz w:val="24"/>
                <w:szCs w:val="24"/>
                <w:color w:val="auto"/>
              </w:rPr>
            </w:pP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35"/>
                <w:szCs w:val="35"/>
                <w:color w:val="auto"/>
                <w:w w:val="94"/>
                <w:vertAlign w:val="subscript"/>
              </w:rPr>
              <w:t>X</w:t>
            </w:r>
            <w:r>
              <w:rPr>
                <w:rFonts w:ascii="Times New Roman" w:cs="Times New Roman" w:eastAsia="Times New Roman" w:hAnsi="Times New Roman"/>
                <w:sz w:val="12"/>
                <w:szCs w:val="12"/>
                <w:color w:val="auto"/>
                <w:w w:val="94"/>
              </w:rPr>
              <w:t xml:space="preserve"> (1)</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37,632</w:t>
            </w:r>
          </w:p>
        </w:tc>
        <w:tc>
          <w:tcPr>
            <w:tcW w:w="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6/10/2025</w:t>
            </w:r>
          </w:p>
        </w:tc>
        <w:tc>
          <w:tcPr>
            <w:tcW w:w="0" w:type="dxa"/>
            <w:vAlign w:val="bottom"/>
          </w:tcPr>
          <w:p>
            <w:pPr>
              <w:spacing w:after="0"/>
              <w:rPr>
                <w:sz w:val="1"/>
                <w:szCs w:val="1"/>
                <w:color w:val="auto"/>
              </w:rPr>
            </w:pPr>
          </w:p>
        </w:tc>
      </w:tr>
    </w:tbl>
    <w:p>
      <w:pPr>
        <w:ind w:left="340"/>
        <w:spacing w:after="0"/>
        <w:rPr>
          <w:sz w:val="20"/>
          <w:szCs w:val="20"/>
          <w:color w:val="auto"/>
        </w:rPr>
      </w:pPr>
      <w:r>
        <w:rPr>
          <w:rFonts w:ascii="Times New Roman" w:cs="Times New Roman" w:eastAsia="Times New Roman" w:hAnsi="Times New Roman"/>
          <w:sz w:val="16"/>
          <w:szCs w:val="16"/>
          <w:color w:val="auto"/>
        </w:rPr>
        <w:t>* Intended to satisfy the affirmative defense of Rule 10b5-1(c).</w:t>
      </w:r>
    </w:p>
    <w:p>
      <w:pPr>
        <w:spacing w:after="0" w:line="1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 Not intended to satisfy the affirmative defense of Rule 10b5-1(c).</w:t>
      </w:r>
    </w:p>
    <w:p>
      <w:pPr>
        <w:spacing w:after="0" w:line="23" w:lineRule="exact"/>
        <w:rPr>
          <w:sz w:val="20"/>
          <w:szCs w:val="20"/>
          <w:color w:val="auto"/>
        </w:rPr>
      </w:pPr>
    </w:p>
    <w:p>
      <w:pPr>
        <w:jc w:val="both"/>
        <w:ind w:left="660" w:hanging="328"/>
        <w:spacing w:after="0" w:line="258" w:lineRule="auto"/>
        <w:tabs>
          <w:tab w:leader="none" w:pos="6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10b5-1 plan included a representation from the officer to the broker administering the plan that they were not in possession of any material nonpublic information regarding the Company or the securities subject to the plan. A similar representation was made to the Company in connection with the adoption of the plan under the Company’s insider trading policy. Those representations were made as of the date of adoption of the 10b5-1 plan, and speak only as of that date. In making those representations, there is no assurance with respect to any material non-public information of which the officer was unaware, or with respect to any material non-public information acquired by the officer or the Company after the date of the representation.</w:t>
      </w:r>
    </w:p>
    <w:p>
      <w:pPr>
        <w:spacing w:after="0" w:line="73" w:lineRule="exact"/>
        <w:rPr>
          <w:rFonts w:ascii="Times New Roman" w:cs="Times New Roman" w:eastAsia="Times New Roman" w:hAnsi="Times New Roman"/>
          <w:sz w:val="16"/>
          <w:szCs w:val="16"/>
          <w:color w:val="auto"/>
        </w:rPr>
      </w:pPr>
    </w:p>
    <w:p>
      <w:pPr>
        <w:jc w:val="both"/>
        <w:ind w:left="660" w:hanging="328"/>
        <w:spacing w:after="0" w:line="263" w:lineRule="auto"/>
        <w:tabs>
          <w:tab w:leader="none" w:pos="6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aggregate number of RSU Shares that will be available for sale under the Plan is not yet determinable because the shares available will be net of shares sold to satisfy tax withholding obligations that arise in connection with the vesting and settlement of such RSU awards. As such, for purposes of this disclosure, the shares included in this table reflect the aggregate maximum number of shares underlying the holders RSUs without excluding the shares that will be sold to satisfy the tax withholding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4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0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980" w:type="dxa"/>
            <w:vAlign w:val="bottom"/>
          </w:tcPr>
          <w:p>
            <w:pPr>
              <w:spacing w:after="0"/>
              <w:rPr>
                <w:sz w:val="3"/>
                <w:szCs w:val="3"/>
                <w:color w:val="auto"/>
              </w:rPr>
            </w:pPr>
          </w:p>
        </w:tc>
        <w:tc>
          <w:tcPr>
            <w:tcW w:w="308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58"/>
        </w:trPr>
        <w:tc>
          <w:tcPr>
            <w:tcW w:w="104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498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1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37"/>
        </w:trPr>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30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9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Rules 13a-</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0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2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14(a) and 15d-14(a) under the Securities Exchange Act of 1934, as</w:t>
            </w:r>
          </w:p>
        </w:tc>
        <w:tc>
          <w:tcPr>
            <w:tcW w:w="160" w:type="dxa"/>
            <w:vAlign w:val="bottom"/>
            <w:gridSpan w:val="2"/>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8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w:t>
            </w:r>
          </w:p>
        </w:tc>
        <w:tc>
          <w:tcPr>
            <w:tcW w:w="500" w:type="dxa"/>
            <w:vAlign w:val="bottom"/>
            <w:gridSpan w:val="5"/>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8"/>
              </w:rPr>
              <w:t>2002.</w:t>
            </w:r>
          </w:p>
        </w:tc>
        <w:tc>
          <w:tcPr>
            <w:tcW w:w="98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Rules 13a-</w:t>
            </w:r>
          </w:p>
        </w:tc>
        <w:tc>
          <w:tcPr>
            <w:tcW w:w="440" w:type="dxa"/>
            <w:vAlign w:val="bottom"/>
            <w:gridSpan w:val="4"/>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2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14(a) and 15d-14(a) under the Securities Exchange Act of 1934, as</w:t>
            </w:r>
          </w:p>
        </w:tc>
        <w:tc>
          <w:tcPr>
            <w:tcW w:w="160" w:type="dxa"/>
            <w:vAlign w:val="bottom"/>
            <w:gridSpan w:val="2"/>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8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w:t>
            </w:r>
          </w:p>
        </w:tc>
        <w:tc>
          <w:tcPr>
            <w:tcW w:w="500" w:type="dxa"/>
            <w:vAlign w:val="bottom"/>
            <w:gridSpan w:val="5"/>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8"/>
              </w:rPr>
              <w:t>2002.</w:t>
            </w:r>
          </w:p>
        </w:tc>
        <w:tc>
          <w:tcPr>
            <w:tcW w:w="98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30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Section 1350, as adopted pursuant to Section 906 of the Sarbanes-</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0" w:type="dxa"/>
            <w:vAlign w:val="bottom"/>
            <w:tcBorders>
              <w:top w:val="single" w:sz="8" w:color="0000FF"/>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3360" w:type="dxa"/>
            <w:vAlign w:val="bottom"/>
            <w:tcBorders>
              <w:top w:val="single" w:sz="8" w:color="0000FF"/>
            </w:tcBorders>
            <w:gridSpan w:val="3"/>
          </w:tcPr>
          <w:p>
            <w:pPr>
              <w:spacing w:after="0"/>
              <w:rPr>
                <w:sz w:val="17"/>
                <w:szCs w:val="17"/>
                <w:color w:val="auto"/>
              </w:rPr>
            </w:pPr>
          </w:p>
        </w:tc>
        <w:tc>
          <w:tcPr>
            <w:tcW w:w="220" w:type="dxa"/>
            <w:vAlign w:val="bottom"/>
            <w:gridSpan w:val="3"/>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w:t>
            </w:r>
          </w:p>
        </w:tc>
        <w:tc>
          <w:tcPr>
            <w:tcW w:w="500" w:type="dxa"/>
            <w:vAlign w:val="bottom"/>
            <w:gridSpan w:val="5"/>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Section 1350, as adopted pursuant to Section 906 of the Sarbanes-</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0" w:type="dxa"/>
            <w:vAlign w:val="bottom"/>
            <w:tcBorders>
              <w:top w:val="single" w:sz="8" w:color="0000FF"/>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3360" w:type="dxa"/>
            <w:vAlign w:val="bottom"/>
            <w:tcBorders>
              <w:top w:val="single" w:sz="8" w:color="0000FF"/>
            </w:tcBorders>
            <w:gridSpan w:val="3"/>
          </w:tcPr>
          <w:p>
            <w:pPr>
              <w:spacing w:after="0"/>
              <w:rPr>
                <w:sz w:val="17"/>
                <w:szCs w:val="17"/>
                <w:color w:val="auto"/>
              </w:rPr>
            </w:pPr>
          </w:p>
        </w:tc>
        <w:tc>
          <w:tcPr>
            <w:tcW w:w="220" w:type="dxa"/>
            <w:vAlign w:val="bottom"/>
            <w:gridSpan w:val="3"/>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6"/>
        </w:trPr>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101.INS</w:t>
            </w:r>
          </w:p>
        </w:tc>
        <w:tc>
          <w:tcPr>
            <w:tcW w:w="20" w:type="dxa"/>
            <w:vAlign w:val="bottom"/>
          </w:tcPr>
          <w:p>
            <w:pPr>
              <w:spacing w:after="0"/>
              <w:rPr>
                <w:sz w:val="24"/>
                <w:szCs w:val="24"/>
                <w:color w:val="auto"/>
              </w:rPr>
            </w:pPr>
          </w:p>
        </w:tc>
        <w:tc>
          <w:tcPr>
            <w:tcW w:w="4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not appear in the Interactive Data File because its XBRL tags are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4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306"/>
        </w:trPr>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4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Document</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101.DEF</w:t>
            </w:r>
          </w:p>
        </w:tc>
        <w:tc>
          <w:tcPr>
            <w:tcW w:w="20" w:type="dxa"/>
            <w:vAlign w:val="bottom"/>
          </w:tcPr>
          <w:p>
            <w:pPr>
              <w:spacing w:after="0"/>
              <w:rPr>
                <w:sz w:val="24"/>
                <w:szCs w:val="24"/>
                <w:color w:val="auto"/>
              </w:rPr>
            </w:pPr>
          </w:p>
        </w:tc>
        <w:tc>
          <w:tcPr>
            <w:tcW w:w="4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324"/>
        </w:trPr>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4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306"/>
        </w:trPr>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101.PRE</w:t>
            </w:r>
          </w:p>
        </w:tc>
        <w:tc>
          <w:tcPr>
            <w:tcW w:w="20" w:type="dxa"/>
            <w:vAlign w:val="bottom"/>
          </w:tcPr>
          <w:p>
            <w:pPr>
              <w:spacing w:after="0"/>
              <w:rPr>
                <w:sz w:val="24"/>
                <w:szCs w:val="24"/>
                <w:color w:val="auto"/>
              </w:rPr>
            </w:pPr>
          </w:p>
        </w:tc>
        <w:tc>
          <w:tcPr>
            <w:tcW w:w="4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Document</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contained in Exhibit 101)</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w:t>
      </w:r>
    </w:p>
    <w:p>
      <w:pPr>
        <w:spacing w:after="0" w:line="27" w:lineRule="exact"/>
        <w:rPr>
          <w:sz w:val="20"/>
          <w:szCs w:val="20"/>
          <w:color w:val="auto"/>
        </w:rPr>
      </w:pPr>
    </w:p>
    <w:p>
      <w:pPr>
        <w:ind w:left="120" w:hanging="112"/>
        <w:spacing w:after="0"/>
        <w:tabs>
          <w:tab w:leader="none" w:pos="1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Registrant has omitted portions of the exhibit as permitted under Item 601(b)(10) of Regulation S-K.</w:t>
      </w:r>
    </w:p>
    <w:p>
      <w:pPr>
        <w:spacing w:after="0" w:line="109" w:lineRule="exact"/>
        <w:rPr>
          <w:sz w:val="20"/>
          <w:szCs w:val="20"/>
          <w:color w:val="auto"/>
        </w:rPr>
      </w:pPr>
    </w:p>
    <w:p>
      <w:pPr>
        <w:jc w:val="both"/>
        <w:ind w:left="340" w:hanging="332"/>
        <w:spacing w:after="0" w:line="272" w:lineRule="auto"/>
        <w:tabs>
          <w:tab w:leader="none" w:pos="331"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The information in this exhibit is furnished and deemed not filed with the Securities and Exchange Commission for purposes of Section 18 of the Securities Exchange Act of 1934, as amended (the “Exchange Act”), and is not to be incorporated by reference into any filing of PubMatic, Inc. under the Securities Act of 1933, as amended, or the Exchange Act, whether made before or after the date hereof, regardless of any general incorporation language in such filing.</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Indicates a management contract, compensatory plan or arrangement.</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Dated: August 8, 2024</w:t>
      </w:r>
    </w:p>
    <w:p>
      <w:pPr>
        <w:spacing w:after="0" w:line="16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b w:val="1"/>
          <w:bCs w:val="1"/>
          <w:color w:val="auto"/>
        </w:rPr>
        <w:t>PUBMATIC, INC.</w:t>
      </w:r>
    </w:p>
    <w:p>
      <w:pPr>
        <w:spacing w:after="0" w:line="337" w:lineRule="exact"/>
        <w:rPr>
          <w:sz w:val="20"/>
          <w:szCs w:val="20"/>
          <w:color w:val="auto"/>
        </w:rPr>
      </w:pPr>
    </w:p>
    <w:p>
      <w:pPr>
        <w:ind w:left="5340"/>
        <w:spacing w:after="0"/>
        <w:tabs>
          <w:tab w:leader="none" w:pos="5800" w:val="left"/>
        </w:tabs>
        <w:rPr>
          <w:sz w:val="20"/>
          <w:szCs w:val="20"/>
          <w:color w:val="auto"/>
        </w:rPr>
      </w:pPr>
      <w:r>
        <w:rPr>
          <w:rFonts w:ascii="Times New Roman" w:cs="Times New Roman" w:eastAsia="Times New Roman" w:hAnsi="Times New Roman"/>
          <w:sz w:val="18"/>
          <w:szCs w:val="18"/>
          <w:color w:val="auto"/>
        </w:rPr>
        <w:t>By:</w:t>
        <w:tab/>
        <w:t>/s/ Steven Pantelick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34290</wp:posOffset>
            </wp:positionV>
            <wp:extent cx="34544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5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Steven Pantelick</w:t>
      </w:r>
    </w:p>
    <w:p>
      <w:pPr>
        <w:spacing w:after="0" w:line="6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20"/>
          </w:cols>
          <w:pgMar w:left="320" w:top="229" w:right="35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6" w:lineRule="exact"/>
        <w:rPr>
          <w:sz w:val="20"/>
          <w:szCs w:val="20"/>
          <w:color w:val="auto"/>
        </w:rPr>
      </w:pPr>
    </w:p>
    <w:p>
      <w:pPr>
        <w:jc w:val="center"/>
        <w:spacing w:after="0" w:line="266" w:lineRule="auto"/>
        <w:rPr>
          <w:sz w:val="20"/>
          <w:szCs w:val="20"/>
          <w:color w:val="auto"/>
        </w:rPr>
      </w:pPr>
      <w:r>
        <w:rPr>
          <w:rFonts w:ascii="Times New Roman" w:cs="Times New Roman" w:eastAsia="Times New Roman" w:hAnsi="Times New Roman"/>
          <w:sz w:val="18"/>
          <w:szCs w:val="18"/>
          <w:color w:val="auto"/>
        </w:rPr>
        <w:t>CERTIFICATION OF CHIEF EXECUTIVE OFFICER PURSUANT TO EXCHANGE ACT RULES 13a-14(a) AND 15d-14(a) AS ADOPTED PURSUANT TO SECTION 302 OF THE SARBANES-OXLEY ACT OF 2002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Rajeev K. Goel, certify that:</w:t>
      </w:r>
    </w:p>
    <w:p>
      <w:pPr>
        <w:spacing w:after="0" w:line="252"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PubMatic, Inc.;</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7"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29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7" w:lineRule="exact"/>
        <w:rPr>
          <w:rFonts w:ascii="Times New Roman" w:cs="Times New Roman" w:eastAsia="Times New Roman" w:hAnsi="Times New Roman"/>
          <w:sz w:val="18"/>
          <w:szCs w:val="18"/>
          <w:color w:val="auto"/>
        </w:rPr>
      </w:pPr>
    </w:p>
    <w:p>
      <w:pPr>
        <w:ind w:left="1300" w:hanging="320"/>
        <w:spacing w:after="0" w:line="282" w:lineRule="auto"/>
        <w:tabs>
          <w:tab w:leader="none" w:pos="1297"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297"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hanging="320"/>
        <w:spacing w:after="0" w:line="282" w:lineRule="auto"/>
        <w:tabs>
          <w:tab w:leader="none" w:pos="129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43" w:lineRule="exact"/>
        <w:rPr>
          <w:sz w:val="20"/>
          <w:szCs w:val="20"/>
          <w:color w:val="auto"/>
        </w:rPr>
      </w:pPr>
    </w:p>
    <w:p>
      <w:pPr>
        <w:ind w:left="20"/>
        <w:spacing w:after="0"/>
        <w:tabs>
          <w:tab w:leader="none" w:pos="5640" w:val="left"/>
        </w:tabs>
        <w:rPr>
          <w:sz w:val="20"/>
          <w:szCs w:val="20"/>
          <w:color w:val="auto"/>
        </w:rPr>
      </w:pPr>
      <w:r>
        <w:rPr>
          <w:rFonts w:ascii="Times New Roman" w:cs="Times New Roman" w:eastAsia="Times New Roman" w:hAnsi="Times New Roman"/>
          <w:sz w:val="18"/>
          <w:szCs w:val="18"/>
          <w:color w:val="auto"/>
        </w:rPr>
        <w:t>Dated: August 8, 2024</w:t>
      </w:r>
      <w:r>
        <w:rPr>
          <w:sz w:val="20"/>
          <w:szCs w:val="20"/>
          <w:color w:val="auto"/>
        </w:rPr>
        <w:tab/>
      </w: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Rajeev K. Goel</w:t>
      </w:r>
    </w:p>
    <w:p>
      <w:pPr>
        <w:spacing w:after="0" w:line="7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Rajeev K. Goel</w:t>
      </w:r>
    </w:p>
    <w:p>
      <w:pPr>
        <w:spacing w:after="0" w:line="7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7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927"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6" w:lineRule="exact"/>
        <w:rPr>
          <w:sz w:val="20"/>
          <w:szCs w:val="20"/>
          <w:color w:val="auto"/>
        </w:rPr>
      </w:pPr>
    </w:p>
    <w:p>
      <w:pPr>
        <w:jc w:val="center"/>
        <w:spacing w:after="0" w:line="266" w:lineRule="auto"/>
        <w:rPr>
          <w:sz w:val="20"/>
          <w:szCs w:val="20"/>
          <w:color w:val="auto"/>
        </w:rPr>
      </w:pPr>
      <w:r>
        <w:rPr>
          <w:rFonts w:ascii="Times New Roman" w:cs="Times New Roman" w:eastAsia="Times New Roman" w:hAnsi="Times New Roman"/>
          <w:sz w:val="18"/>
          <w:szCs w:val="18"/>
          <w:color w:val="auto"/>
        </w:rPr>
        <w:t>CERTIFICATION OF CHIEF FINANCIAL OFFICER PURSUANT TO EXCHANGE ACT RULES 13a-14(a) AND 15d-14(a) AS ADOPTED PURSUANT TO SECTION 302 OF THE SARBANES-OXLEY ACT OF 2002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Pantelick, certify that:</w:t>
      </w:r>
    </w:p>
    <w:p>
      <w:pPr>
        <w:spacing w:after="0" w:line="252"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PubMatic, Inc.;</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29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7" w:lineRule="exact"/>
        <w:rPr>
          <w:rFonts w:ascii="Times New Roman" w:cs="Times New Roman" w:eastAsia="Times New Roman" w:hAnsi="Times New Roman"/>
          <w:sz w:val="18"/>
          <w:szCs w:val="18"/>
          <w:color w:val="auto"/>
        </w:rPr>
      </w:pPr>
    </w:p>
    <w:p>
      <w:pPr>
        <w:ind w:left="1300" w:hanging="320"/>
        <w:spacing w:after="0" w:line="282" w:lineRule="auto"/>
        <w:tabs>
          <w:tab w:leader="none" w:pos="129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2"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29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hanging="320"/>
        <w:spacing w:after="0" w:line="282" w:lineRule="auto"/>
        <w:tabs>
          <w:tab w:leader="none" w:pos="129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43" w:lineRule="exact"/>
        <w:rPr>
          <w:sz w:val="20"/>
          <w:szCs w:val="20"/>
          <w:color w:val="auto"/>
        </w:rPr>
      </w:pPr>
    </w:p>
    <w:p>
      <w:pPr>
        <w:ind w:left="20"/>
        <w:spacing w:after="0"/>
        <w:tabs>
          <w:tab w:leader="none" w:pos="5640" w:val="left"/>
        </w:tabs>
        <w:rPr>
          <w:sz w:val="20"/>
          <w:szCs w:val="20"/>
          <w:color w:val="auto"/>
        </w:rPr>
      </w:pPr>
      <w:r>
        <w:rPr>
          <w:rFonts w:ascii="Times New Roman" w:cs="Times New Roman" w:eastAsia="Times New Roman" w:hAnsi="Times New Roman"/>
          <w:sz w:val="18"/>
          <w:szCs w:val="18"/>
          <w:color w:val="auto"/>
        </w:rPr>
        <w:t>Dated: August 8, 2024</w:t>
      </w:r>
      <w:r>
        <w:rPr>
          <w:sz w:val="20"/>
          <w:szCs w:val="20"/>
          <w:color w:val="auto"/>
        </w:rPr>
        <w:tab/>
      </w: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Steven Pantelick</w:t>
      </w:r>
    </w:p>
    <w:p>
      <w:pPr>
        <w:spacing w:after="0" w:line="7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Steven Pantelick</w:t>
      </w:r>
    </w:p>
    <w:p>
      <w:pPr>
        <w:spacing w:after="0" w:line="7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7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927"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97" w:lineRule="exact"/>
        <w:rPr>
          <w:sz w:val="20"/>
          <w:szCs w:val="20"/>
          <w:color w:val="auto"/>
        </w:rPr>
      </w:pPr>
    </w:p>
    <w:p>
      <w:pPr>
        <w:jc w:val="center"/>
        <w:ind w:left="360" w:right="2140"/>
        <w:spacing w:after="0" w:line="266" w:lineRule="auto"/>
        <w:rPr>
          <w:sz w:val="20"/>
          <w:szCs w:val="20"/>
          <w:color w:val="auto"/>
        </w:rPr>
      </w:pPr>
      <w:r>
        <w:rPr>
          <w:rFonts w:ascii="Times New Roman" w:cs="Times New Roman" w:eastAsia="Times New Roman" w:hAnsi="Times New Roman"/>
          <w:sz w:val="18"/>
          <w:szCs w:val="18"/>
          <w:color w:val="auto"/>
        </w:rPr>
        <w:t>CERTIFICATION OF CHIEF EXECUTIVE OFFICER PURSUANT TO PURSUANT TO 18 U.S.C. SECTION 1350, AS ADOPTED PURSUANT TO SECTION 906 OF THE SARBANES-OXLEY ACT OF 2002</w:t>
      </w:r>
    </w:p>
    <w:p>
      <w:pPr>
        <w:spacing w:after="0" w:line="20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 Rajeev K. Goel, Chief Executive Officer of PubMatic, Inc. (the “Company”), do hereby certify, pursuant to 18 U.S.C. Section 1350, as adopted pursuant to Section 906 of the Sarbanes-Oxley Act of 2002, that to my knowledge:</w:t>
      </w:r>
    </w:p>
    <w:p>
      <w:pPr>
        <w:spacing w:after="0" w:line="189" w:lineRule="exact"/>
        <w:rPr>
          <w:sz w:val="20"/>
          <w:szCs w:val="20"/>
          <w:color w:val="auto"/>
        </w:rPr>
      </w:pPr>
    </w:p>
    <w:p>
      <w:pPr>
        <w:ind w:left="660" w:hanging="328"/>
        <w:spacing w:after="0" w:line="282" w:lineRule="auto"/>
        <w:tabs>
          <w:tab w:leader="none" w:pos="65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fiscal quarter ended June 30, 2024 (the “Report”) fully complies with the requirements of Section 13(a) or 15(d) of the Securities Exchange Act of 1934; and</w:t>
      </w:r>
    </w:p>
    <w:p>
      <w:pPr>
        <w:spacing w:after="0" w:line="188"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06" w:lineRule="exact"/>
        <w:rPr>
          <w:sz w:val="20"/>
          <w:szCs w:val="20"/>
          <w:color w:val="auto"/>
        </w:rPr>
      </w:pPr>
    </w:p>
    <w:p>
      <w:pPr>
        <w:ind w:left="20"/>
        <w:spacing w:after="0"/>
        <w:tabs>
          <w:tab w:leader="none" w:pos="5600" w:val="left"/>
        </w:tabs>
        <w:rPr>
          <w:sz w:val="20"/>
          <w:szCs w:val="20"/>
          <w:color w:val="auto"/>
        </w:rPr>
      </w:pPr>
      <w:r>
        <w:rPr>
          <w:rFonts w:ascii="Times New Roman" w:cs="Times New Roman" w:eastAsia="Times New Roman" w:hAnsi="Times New Roman"/>
          <w:sz w:val="18"/>
          <w:szCs w:val="18"/>
          <w:color w:val="auto"/>
        </w:rPr>
        <w:t>Dated: August 8, 2024</w:t>
      </w:r>
      <w:r>
        <w:rPr>
          <w:sz w:val="20"/>
          <w:szCs w:val="20"/>
          <w:color w:val="auto"/>
        </w:rPr>
        <w:tab/>
      </w: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Rajeev K. Goel</w:t>
      </w:r>
    </w:p>
    <w:p>
      <w:pPr>
        <w:spacing w:after="0" w:line="7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Rajeev K. Goel</w:t>
      </w:r>
    </w:p>
    <w:p>
      <w:pPr>
        <w:spacing w:after="0" w:line="7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7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3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certification is not deemed filed with the Securities and Exchange Commission for purposes of Section 18 of the Securities Exchange Act of 1934, as amended (the “Exchange Act”), and is not to be incorporated by reference into any filing of PubMatic, Inc. under the Securities Act of 1933, as amended, or the Exchange Act, whether made before or after the date hereof, regardless of any general incorporation language in such filing.</w:t>
      </w:r>
    </w:p>
    <w:p>
      <w:pPr>
        <w:sectPr>
          <w:pgSz w:w="11900" w:h="16838" w:orient="portrait"/>
          <w:cols w:equalWidth="0" w:num="1">
            <w:col w:w="11240"/>
          </w:cols>
          <w:pgMar w:left="320" w:top="954"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97" w:lineRule="exact"/>
        <w:rPr>
          <w:sz w:val="20"/>
          <w:szCs w:val="20"/>
          <w:color w:val="auto"/>
        </w:rPr>
      </w:pPr>
    </w:p>
    <w:p>
      <w:pPr>
        <w:jc w:val="center"/>
        <w:ind w:left="360" w:right="2140"/>
        <w:spacing w:after="0" w:line="266" w:lineRule="auto"/>
        <w:rPr>
          <w:sz w:val="20"/>
          <w:szCs w:val="20"/>
          <w:color w:val="auto"/>
        </w:rPr>
      </w:pPr>
      <w:r>
        <w:rPr>
          <w:rFonts w:ascii="Times New Roman" w:cs="Times New Roman" w:eastAsia="Times New Roman" w:hAnsi="Times New Roman"/>
          <w:sz w:val="18"/>
          <w:szCs w:val="18"/>
          <w:color w:val="auto"/>
        </w:rPr>
        <w:t>CERTIFICATION OF CHIEF FINANCIAL OFFICER PURSUANT TO PURSUANT TO 18 U.S.C. SECTION 1350, AS ADOPTED PURSUANT TO SECTION 906 OF THE SARBANES-OXLEY ACT OF 2002</w:t>
      </w:r>
    </w:p>
    <w:p>
      <w:pPr>
        <w:spacing w:after="0" w:line="20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 Steven Pantelick, Chief Financial Officer of PubMatic, Inc. (the “Company”), do hereby certify, pursuant to 18 U.S.C. Section 1350, as adopted pursuant to Section 906 of the Sarbanes-Oxley Act of 2002, that to my knowledge:</w:t>
      </w:r>
    </w:p>
    <w:p>
      <w:pPr>
        <w:spacing w:after="0" w:line="189" w:lineRule="exact"/>
        <w:rPr>
          <w:sz w:val="20"/>
          <w:szCs w:val="20"/>
          <w:color w:val="auto"/>
        </w:rPr>
      </w:pPr>
    </w:p>
    <w:p>
      <w:pPr>
        <w:ind w:left="660" w:hanging="328"/>
        <w:spacing w:after="0" w:line="282" w:lineRule="auto"/>
        <w:tabs>
          <w:tab w:leader="none" w:pos="65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fiscal quarter ended June 30, 2024 (the “Report”) fully complies with the requirements of Section 13(a) or 15(d) of the Securities Exchange Act of 1934; and</w:t>
      </w:r>
    </w:p>
    <w:p>
      <w:pPr>
        <w:spacing w:after="0" w:line="188"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06" w:lineRule="exact"/>
        <w:rPr>
          <w:sz w:val="20"/>
          <w:szCs w:val="20"/>
          <w:color w:val="auto"/>
        </w:rPr>
      </w:pPr>
    </w:p>
    <w:p>
      <w:pPr>
        <w:ind w:left="20"/>
        <w:spacing w:after="0"/>
        <w:tabs>
          <w:tab w:leader="none" w:pos="5640" w:val="left"/>
        </w:tabs>
        <w:rPr>
          <w:sz w:val="20"/>
          <w:szCs w:val="20"/>
          <w:color w:val="auto"/>
        </w:rPr>
      </w:pPr>
      <w:r>
        <w:rPr>
          <w:rFonts w:ascii="Times New Roman" w:cs="Times New Roman" w:eastAsia="Times New Roman" w:hAnsi="Times New Roman"/>
          <w:sz w:val="18"/>
          <w:szCs w:val="18"/>
          <w:color w:val="auto"/>
        </w:rPr>
        <w:t>Dated: August 8, 2024</w:t>
      </w:r>
      <w:r>
        <w:rPr>
          <w:sz w:val="20"/>
          <w:szCs w:val="20"/>
          <w:color w:val="auto"/>
        </w:rPr>
        <w:tab/>
      </w: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Steven Pantelick</w:t>
      </w:r>
    </w:p>
    <w:p>
      <w:pPr>
        <w:spacing w:after="0" w:line="7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Steven Pantelick</w:t>
      </w:r>
    </w:p>
    <w:p>
      <w:pPr>
        <w:spacing w:after="0" w:line="7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7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2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certification is not deemed filed with the Securities and Exchange Commission for purposes of Section 18 of the Securities Exchange Act of 1934, as amended (the “Exchange Act”), and is not to be incorporated by reference into any filing of PubMatic, Inc. under the Securities Act of 1933, as amended, or the Exchange Act, whether made before or after the date hereof, regardless of any general incorporation language in such filing.</w:t>
      </w:r>
    </w:p>
    <w:sectPr>
      <w:pgSz w:w="11900" w:h="16838" w:orient="portrait"/>
      <w:cols w:equalWidth="0" w:num="1">
        <w:col w:w="11240"/>
      </w:cols>
      <w:pgMar w:left="320" w:top="95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decimal"/>
      <w:start w:val="1"/>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2024-08-08T15:58:30Z</dcterms:created>
  <dcterms:modified xsi:type="dcterms:W3CDTF">2024-08-08T15:58:30Z</dcterms:modified>
</cp:coreProperties>
</file>