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7930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930515"/>
                    </a:xfrm>
                    <a:prstGeom prst="rect">
                      <a:avLst/>
                    </a:prstGeom>
                    <a:noFill/>
                  </pic:spPr>
                </pic:pic>
              </a:graphicData>
            </a:graphic>
          </wp:anchor>
        </w:drawing>
      </w:r>
    </w:p>
    <w:p>
      <w:pPr>
        <w:spacing w:after="0" w:line="1086" w:lineRule="exact"/>
        <w:rPr>
          <w:sz w:val="24"/>
          <w:szCs w:val="24"/>
          <w:color w:val="auto"/>
        </w:rPr>
      </w:pPr>
    </w:p>
    <w:p>
      <w:pPr>
        <w:sectPr>
          <w:pgSz w:w="11900" w:h="16896" w:orient="portrait"/>
          <w:cols w:equalWidth="0" w:num="2">
            <w:col w:w="2340" w:space="32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Goel Rajeev K.</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PUBMATIC,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MARSHALL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PubMatic,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PUBM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1"/>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52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6" w:lineRule="exact"/>
        <w:rPr>
          <w:sz w:val="24"/>
          <w:szCs w:val="24"/>
          <w:color w:val="auto"/>
        </w:rPr>
      </w:pPr>
    </w:p>
    <w:p>
      <w:pPr>
        <w:sectPr>
          <w:pgSz w:w="11900" w:h="16896" w:orient="portrait"/>
          <w:cols w:equalWidth="0" w:num="3">
            <w:col w:w="3180" w:space="720"/>
            <w:col w:w="3119" w:space="720"/>
            <w:col w:w="3341"/>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3"/>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94063</w:t>
            </w:r>
          </w:p>
        </w:tc>
        <w:tc>
          <w:tcPr>
            <w:tcW w:w="668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80" w:type="dxa"/>
            <w:vAlign w:val="bottom"/>
          </w:tcPr>
          <w:p>
            <w:pPr>
              <w:ind w:left="4500"/>
              <w:spacing w:after="0" w:line="138" w:lineRule="exact"/>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31"/>
        </w:trPr>
        <w:tc>
          <w:tcPr>
            <w:tcW w:w="10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68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0000FF"/>
              </w:rPr>
              <w:t>06/18/2026</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0000FF"/>
              </w:rPr>
              <w:t>21,871</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60" w:type="dxa"/>
            <w:vAlign w:val="bottom"/>
            <w:gridSpan w:val="3"/>
          </w:tcPr>
          <w:p>
            <w:pPr>
              <w:jc w:val="right"/>
              <w:ind w:right="343"/>
              <w:spacing w:after="0"/>
              <w:rPr>
                <w:sz w:val="20"/>
                <w:szCs w:val="20"/>
                <w:color w:val="auto"/>
              </w:rPr>
            </w:pPr>
            <w:r>
              <w:rPr>
                <w:rFonts w:ascii="Times New Roman" w:cs="Times New Roman" w:eastAsia="Times New Roman" w:hAnsi="Times New Roman"/>
                <w:sz w:val="16"/>
                <w:szCs w:val="16"/>
                <w:color w:val="0000FF"/>
              </w:rPr>
              <w:t>43,077</w:t>
            </w:r>
          </w:p>
        </w:tc>
        <w:tc>
          <w:tcPr>
            <w:tcW w:w="26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(2)</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06/18/2026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6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6"/>
                <w:szCs w:val="16"/>
                <w:color w:val="0000FF"/>
              </w:rPr>
              <w:t>43,077</w:t>
            </w:r>
            <w:r>
              <w:rPr>
                <w:rFonts w:ascii="Times New Roman" w:cs="Times New Roman" w:eastAsia="Times New Roman" w:hAnsi="Times New Roman"/>
                <w:sz w:val="20"/>
                <w:szCs w:val="20"/>
                <w:color w:val="008000"/>
                <w:vertAlign w:val="superscript"/>
              </w:rPr>
              <w:t>(4)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11.2953</w:t>
            </w:r>
            <w:r>
              <w:rPr>
                <w:rFonts w:ascii="Times New Roman" w:cs="Times New Roman" w:eastAsia="Times New Roman" w:hAnsi="Times New Roman"/>
                <w:sz w:val="20"/>
                <w:szCs w:val="20"/>
                <w:color w:val="008000"/>
                <w:w w:val="96"/>
                <w:vertAlign w:val="superscript"/>
              </w:rPr>
              <w:t>(5)</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21,871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buy Class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2.15</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2"/>
                <w:szCs w:val="12"/>
                <w:color w:val="auto"/>
              </w:rPr>
            </w:pPr>
          </w:p>
        </w:tc>
        <w:tc>
          <w:tcPr>
            <w:tcW w:w="68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w w:val="89"/>
              </w:rPr>
              <w:t>21,871</w:t>
            </w:r>
          </w:p>
        </w:tc>
        <w:tc>
          <w:tcPr>
            <w:tcW w:w="780" w:type="dxa"/>
            <w:vAlign w:val="bottom"/>
            <w:vMerge w:val="continue"/>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05/01/2027</w:t>
            </w: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ind w:right="3"/>
              <w:spacing w:after="0" w:line="138" w:lineRule="exact"/>
              <w:rPr>
                <w:sz w:val="20"/>
                <w:szCs w:val="20"/>
                <w:color w:val="auto"/>
              </w:rPr>
            </w:pPr>
            <w:r>
              <w:rPr>
                <w:rFonts w:ascii="Times New Roman" w:cs="Times New Roman" w:eastAsia="Times New Roman" w:hAnsi="Times New Roman"/>
                <w:sz w:val="13"/>
                <w:szCs w:val="13"/>
                <w:color w:val="0000FF"/>
                <w:w w:val="99"/>
              </w:rPr>
              <w:t>298,125</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21,871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2"/>
                <w:szCs w:val="12"/>
                <w:color w:val="auto"/>
              </w:rPr>
            </w:pPr>
          </w:p>
        </w:tc>
        <w:tc>
          <w:tcPr>
            <w:tcW w:w="68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21,871</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2.15</w:t>
            </w:r>
          </w:p>
        </w:tc>
        <w:tc>
          <w:tcPr>
            <w:tcW w:w="840" w:type="dxa"/>
            <w:vAlign w:val="bottom"/>
            <w:gridSpan w:val="2"/>
          </w:tcPr>
          <w:p>
            <w:pPr>
              <w:jc w:val="center"/>
              <w:ind w:right="3"/>
              <w:spacing w:after="0" w:line="138" w:lineRule="exact"/>
              <w:rPr>
                <w:sz w:val="20"/>
                <w:szCs w:val="20"/>
                <w:color w:val="auto"/>
              </w:rPr>
            </w:pPr>
            <w:r>
              <w:rPr>
                <w:rFonts w:ascii="Times New Roman" w:cs="Times New Roman" w:eastAsia="Times New Roman" w:hAnsi="Times New Roman"/>
                <w:sz w:val="13"/>
                <w:szCs w:val="13"/>
                <w:color w:val="0000FF"/>
                <w:w w:val="99"/>
              </w:rPr>
              <w:t>232,855</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21,871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2"/>
                <w:szCs w:val="12"/>
                <w:color w:val="auto"/>
              </w:rPr>
            </w:pPr>
          </w:p>
        </w:tc>
        <w:tc>
          <w:tcPr>
            <w:tcW w:w="68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580" w:type="dxa"/>
            <w:vAlign w:val="bottom"/>
          </w:tcPr>
          <w:p>
            <w:pPr>
              <w:spacing w:after="0"/>
              <w:rPr>
                <w:sz w:val="12"/>
                <w:szCs w:val="12"/>
                <w:color w:val="auto"/>
              </w:rPr>
            </w:pPr>
          </w:p>
        </w:tc>
        <w:tc>
          <w:tcPr>
            <w:tcW w:w="4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w w:val="89"/>
              </w:rPr>
              <w:t>21,871</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ind w:right="3"/>
              <w:spacing w:after="0" w:line="138" w:lineRule="exact"/>
              <w:rPr>
                <w:sz w:val="20"/>
                <w:szCs w:val="20"/>
                <w:color w:val="auto"/>
              </w:rPr>
            </w:pPr>
            <w:r>
              <w:rPr>
                <w:rFonts w:ascii="Times New Roman" w:cs="Times New Roman" w:eastAsia="Times New Roman" w:hAnsi="Times New Roman"/>
                <w:sz w:val="13"/>
                <w:szCs w:val="13"/>
                <w:color w:val="0000FF"/>
                <w:w w:val="99"/>
              </w:rPr>
              <w:t>210,984</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581,260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581,260</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Borders>
              <w:right w:val="single" w:sz="8" w:color="2C2C2C"/>
            </w:tcBorders>
            <w:gridSpan w:val="3"/>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400,000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400,000</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Borders>
              <w:right w:val="single" w:sz="8" w:color="2C2C2C"/>
            </w:tcBorders>
            <w:gridSpan w:val="3"/>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(8)</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68,616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vMerge w:val="restart"/>
          </w:tcPr>
          <w:p>
            <w:pPr>
              <w:jc w:val="center"/>
              <w:ind w:left="143"/>
              <w:spacing w:after="0"/>
              <w:rPr>
                <w:sz w:val="20"/>
                <w:szCs w:val="20"/>
                <w:color w:val="auto"/>
              </w:rPr>
            </w:pPr>
            <w:r>
              <w:rPr>
                <w:rFonts w:ascii="Times New Roman" w:cs="Times New Roman" w:eastAsia="Times New Roman" w:hAnsi="Times New Roman"/>
                <w:sz w:val="13"/>
                <w:szCs w:val="13"/>
                <w:color w:val="0000FF"/>
                <w:w w:val="94"/>
              </w:rPr>
              <w:t>68,616</w:t>
            </w:r>
          </w:p>
        </w:tc>
        <w:tc>
          <w:tcPr>
            <w:tcW w:w="260" w:type="dxa"/>
            <w:vAlign w:val="bottom"/>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tcBorders>
              <w:right w:val="single" w:sz="8" w:color="2C2C2C"/>
            </w:tcBorders>
            <w:gridSpan w:val="3"/>
            <w:vMerge w:val="restart"/>
          </w:tcPr>
          <w:p>
            <w:pPr>
              <w:ind w:left="120"/>
              <w:spacing w:after="0" w:line="156"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308,775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308,775</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Borders>
              <w:right w:val="single" w:sz="8" w:color="2C2C2C"/>
            </w:tcBorders>
            <w:gridSpan w:val="3"/>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308,775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308,775</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Borders>
              <w:right w:val="single" w:sz="8" w:color="2C2C2C"/>
            </w:tcBorders>
            <w:gridSpan w:val="3"/>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483,784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483,784</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Borders>
              <w:right w:val="single" w:sz="8" w:color="2C2C2C"/>
            </w:tcBorders>
            <w:gridSpan w:val="3"/>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-4813935</wp:posOffset>
            </wp:positionV>
            <wp:extent cx="28575" cy="4819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48196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held by the Issuer's executive officers, directors and their respective affiliates will convert automatically into one share of Class A common stock upon any transfer, except for certain permitted transfers.</w:t>
      </w:r>
    </w:p>
    <w:p>
      <w:pPr>
        <w:spacing w:after="0" w:line="21" w:lineRule="exact"/>
        <w:rPr>
          <w:rFonts w:ascii="Times New Roman" w:cs="Times New Roman" w:eastAsia="Times New Roman" w:hAnsi="Times New Roman"/>
          <w:sz w:val="13"/>
          <w:szCs w:val="13"/>
          <w:color w:val="008000"/>
        </w:rPr>
      </w:pPr>
    </w:p>
    <w:p>
      <w:pPr>
        <w:ind w:left="40" w:right="5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sales reported in this line item, Mr. Goel holds 2,362,194 shares of Class A Common Stock and Class B Common Stock, which figure does not reflect vested but unexercised options, unvested options, or unvested restricted stock units, each as of the date of filing. The option award under which these shares were exercised expires on May 1, 2027.</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line item were effected pursuant to a Rule 10b5-1 trading plan adopted by the Reporting Person on March 5,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to The Goel Family Trust, of which the Reporting Person and his spouse are beneficiaries, and were sold by the Goel Family Trust as reported herein.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sale price. The lowest price at which shares were sold was $11.10 and the highest price at which shares were sold was $11.40. The Reporting Person undertakes to provide upon</w:t>
      </w:r>
    </w:p>
    <w:p>
      <w:pPr>
        <w:sectPr>
          <w:pgSz w:w="11900" w:h="16896"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2"/>
          <w:szCs w:val="12"/>
          <w:color w:val="008000"/>
        </w:rPr>
        <w:t>request to the staff of the Securities and Exchange Commission, the Issuer or its stockholders, full information regarding the total number of shares sold at each separate price within the range set forth herein.</w:t>
      </w:r>
    </w:p>
    <w:p>
      <w:pPr>
        <w:spacing w:after="0" w:line="50" w:lineRule="exact"/>
        <w:rPr>
          <w:sz w:val="20"/>
          <w:szCs w:val="20"/>
          <w:color w:val="auto"/>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fully vested.</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Reporting Person, as custodian for the benefit of his children under the California Uniform Transfers to Minors Act.</w:t>
      </w:r>
    </w:p>
    <w:p>
      <w:pPr>
        <w:spacing w:after="0" w:line="38" w:lineRule="exact"/>
        <w:rPr>
          <w:rFonts w:ascii="Times New Roman" w:cs="Times New Roman" w:eastAsia="Times New Roman" w:hAnsi="Times New Roman"/>
          <w:sz w:val="13"/>
          <w:szCs w:val="13"/>
          <w:color w:val="008000"/>
        </w:rPr>
      </w:pPr>
    </w:p>
    <w:p>
      <w:pPr>
        <w:ind w:left="2" w:right="20" w:hanging="2"/>
        <w:spacing w:after="0" w:line="284"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p>
      <w:pPr>
        <w:ind w:left="2" w:hanging="2"/>
        <w:spacing w:after="0" w:line="23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2" w:right="80" w:hanging="2"/>
        <w:spacing w:after="0" w:line="245"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p>
      <w:pPr>
        <w:spacing w:after="0" w:line="21"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Goel Family Trust, of which the Reporting Person and his spouse are beneficiaries.</w:t>
      </w:r>
    </w:p>
    <w:p>
      <w:pPr>
        <w:ind w:left="6562"/>
        <w:spacing w:after="0" w:line="184" w:lineRule="auto"/>
        <w:rPr>
          <w:sz w:val="20"/>
          <w:szCs w:val="20"/>
          <w:color w:val="auto"/>
        </w:rPr>
      </w:pPr>
      <w:r>
        <w:rPr>
          <w:rFonts w:ascii="Times New Roman" w:cs="Times New Roman" w:eastAsia="Times New Roman" w:hAnsi="Times New Roman"/>
          <w:sz w:val="16"/>
          <w:szCs w:val="16"/>
          <w:color w:val="0000FF"/>
        </w:rPr>
        <w:t xml:space="preserve">/s/ Andrew Woods,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1339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-15875</wp:posOffset>
            </wp:positionV>
            <wp:extent cx="178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-79375</wp:posOffset>
            </wp:positionV>
            <wp:extent cx="472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9"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40" w:hanging="2"/>
        <w:spacing w:after="0" w:line="327"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2"/>
      </w:cols>
      <w:pgMar w:left="498"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33511" TargetMode="External"/><Relationship Id="rId14" Type="http://schemas.openxmlformats.org/officeDocument/2006/relationships/hyperlink" Target="http://www.sec.gov/cgi-bin/browse-edgar?action=getcompany&amp;CIK=0001422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2026-06-22T19:38:42Z</dcterms:created>
  <dcterms:modified xsi:type="dcterms:W3CDTF">2026-06-22T19:38:42Z</dcterms:modified>
</cp:coreProperties>
</file>