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283"/>
        <w:ind w:left="0" w:right="0" w:firstLine="360"/>
        <w:rPr/>
      </w:pPr>
      <w:r>
        <w:rPr/>
      </w:r>
    </w:p>
    <w:p>
      <w:pPr>
        <w:pStyle w:val="TextBody"/>
        <w:spacing w:before="120" w:after="283"/>
        <w:ind w:left="0" w:right="0" w:firstLine="36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spacing w:lineRule="auto" w:line="288" w:before="120" w:after="283"/>
        <w:rPr/>
      </w:pPr>
      <w:r>
        <w:rPr>
          <w:rFonts w:ascii="Wingdings;sans-serif" w:hAnsi="Wingdings;sans-serif"/>
          <w:b/>
          <w:color w:val="000000"/>
          <w:sz w:val="20"/>
        </w:rPr>
        <w:t>x</w:t>
      </w: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br/>
        <w:t>or</w:t>
      </w:r>
    </w:p>
    <w:p>
      <w:pPr>
        <w:pStyle w:val="TextBody"/>
        <w:spacing w:lineRule="auto" w:line="288" w:before="120" w:after="283"/>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001-39748</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PUBMATIC, INC.</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8354" w:type="dxa"/>
        <w:jc w:val="left"/>
        <w:tblInd w:w="0" w:type="dxa"/>
        <w:tblCellMar>
          <w:top w:w="28" w:type="dxa"/>
          <w:left w:w="28" w:type="dxa"/>
          <w:bottom w:w="28" w:type="dxa"/>
          <w:right w:w="28" w:type="dxa"/>
        </w:tblCellMar>
      </w:tblPr>
      <w:tblGrid>
        <w:gridCol w:w="1795"/>
        <w:gridCol w:w="1577"/>
        <w:gridCol w:w="1593"/>
        <w:gridCol w:w="989"/>
        <w:gridCol w:w="989"/>
        <w:gridCol w:w="141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3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20-5863224</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38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c>
          <w:tcPr>
            <w:tcW w:w="33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3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35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3389" w:type="dxa"/>
            <w:gridSpan w:val="3"/>
            <w:tcBorders/>
            <w:shd w:fill="auto" w:val="clea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3389" w:type="dxa"/>
            <w:gridSpan w:val="3"/>
            <w:tcBorders/>
            <w:shd w:fill="auto" w:val="clea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614" w:type="dxa"/>
        <w:jc w:val="left"/>
        <w:tblInd w:w="0" w:type="dxa"/>
        <w:tblCellMar>
          <w:top w:w="28" w:type="dxa"/>
          <w:left w:w="28" w:type="dxa"/>
          <w:bottom w:w="28" w:type="dxa"/>
          <w:right w:w="28" w:type="dxa"/>
        </w:tblCellMar>
      </w:tblPr>
      <w:tblGrid>
        <w:gridCol w:w="1550"/>
        <w:gridCol w:w="1362"/>
        <w:gridCol w:w="1378"/>
        <w:gridCol w:w="499"/>
        <w:gridCol w:w="499"/>
        <w:gridCol w:w="501"/>
        <w:gridCol w:w="1118"/>
        <w:gridCol w:w="1118"/>
        <w:gridCol w:w="1589"/>
      </w:tblGrid>
      <w:tr>
        <w:trPr/>
        <w:tc>
          <w:tcPr>
            <w:tcW w:w="1550"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4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4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PUBM</w:t>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spacing w:lineRule="auto" w:line="288" w:before="100" w:after="283"/>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spacing w:lineRule="auto" w:line="288" w:before="100" w:after="283"/>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583"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spacing w:lineRule="auto" w:line="288" w:before="10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00" w:after="283"/>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May 5, 2023, the registrant had 42,687,521 shares of Class A common stock outstanding and 9,250,062 shares of Class B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283"/>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ind w:left="0" w:right="0" w:firstLine="360"/>
                        <w:rPr/>
                      </w:pPr>
                      <w:r>
                        <w:rPr/>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before="120" w:after="283"/>
        <w:rPr/>
      </w:pPr>
      <w:r>
        <w:rPr/>
      </w:r>
    </w:p>
    <w:p>
      <w:pPr>
        <w:pStyle w:val="TextBody"/>
        <w:spacing w:before="120" w:after="283"/>
        <w:rPr/>
      </w:pPr>
      <w:r>
        <w:rPr/>
      </w:r>
    </w:p>
    <w:p>
      <w:pPr>
        <w:pStyle w:val="TextBody"/>
        <w:spacing w:before="120" w:after="283"/>
        <w:jc w:val="center"/>
        <w:rPr/>
      </w:pPr>
      <w:r>
        <w:rPr/>
      </w:r>
    </w:p>
    <w:tbl>
      <w:tblPr>
        <w:tblW w:w="9780" w:type="dxa"/>
        <w:jc w:val="left"/>
        <w:tblInd w:w="0" w:type="dxa"/>
        <w:tblCellMar>
          <w:top w:w="28" w:type="dxa"/>
          <w:left w:w="28" w:type="dxa"/>
          <w:bottom w:w="28" w:type="dxa"/>
          <w:right w:w="28" w:type="dxa"/>
        </w:tblCellMar>
      </w:tblPr>
      <w:tblGrid>
        <w:gridCol w:w="416"/>
        <w:gridCol w:w="365"/>
        <w:gridCol w:w="365"/>
        <w:gridCol w:w="2453"/>
        <w:gridCol w:w="2453"/>
        <w:gridCol w:w="2459"/>
        <w:gridCol w:w="365"/>
        <w:gridCol w:w="365"/>
        <w:gridCol w:w="539"/>
      </w:tblGrid>
      <w:tr>
        <w:trPr/>
        <w:tc>
          <w:tcPr>
            <w:tcW w:w="41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978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80" w:type="dxa"/>
            <w:gridSpan w:val="9"/>
            <w:tcBorders/>
            <w:shd w:fill="auto" w:val="clear"/>
            <w:tcMar>
              <w:top w:w="0" w:type="dxa"/>
              <w:left w:w="0" w:type="dxa"/>
              <w:bottom w:w="0" w:type="dxa"/>
              <w:right w:w="0" w:type="dxa"/>
            </w:tcMar>
            <w:vAlign w:val="center"/>
          </w:tcPr>
          <w:p>
            <w:pPr>
              <w:pStyle w:val="TableContents"/>
              <w:spacing w:lineRule="auto" w:line="256" w:before="120" w:after="283"/>
              <w:jc w:val="center"/>
              <w:rPr/>
            </w:pPr>
            <w:hyperlink w:anchor="i9d24e51db3394dafb34bd55b19574ed5_10">
              <w:r>
                <w:rPr>
                  <w:rStyle w:val="InternetLink"/>
                  <w:rFonts w:ascii="Times New Roman;sans-serif" w:hAnsi="Times New Roman;sans-serif"/>
                  <w:b/>
                  <w:color w:val="0000FF"/>
                  <w:sz w:val="20"/>
                  <w:u w:val="single"/>
                </w:rPr>
                <w:t>PART I - FINANCIAL INFORMATION</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3">
              <w:r>
                <w:rPr>
                  <w:rStyle w:val="InternetLink"/>
                  <w:rFonts w:ascii="Times New Roman;sans-serif" w:hAnsi="Times New Roman;sans-serif"/>
                  <w:b/>
                  <w:color w:val="0000FF"/>
                  <w:sz w:val="20"/>
                  <w:u w:val="single"/>
                </w:rPr>
                <w:t>Condensed Consolidated Financial Statements (Unaudited)</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3">
              <w:r>
                <w:rPr>
                  <w:rStyle w:val="InternetLink"/>
                  <w:rFonts w:ascii="Times New Roman;sans-serif" w:hAnsi="Times New Roman;sans-serif"/>
                  <w:b w:val="false"/>
                  <w:color w:val="0000FF"/>
                  <w:sz w:val="20"/>
                  <w:u w:val="single"/>
                </w:rPr>
                <w:t>1</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6">
              <w:r>
                <w:rPr>
                  <w:rStyle w:val="InternetLink"/>
                  <w:rFonts w:ascii="Times New Roman;sans-serif" w:hAnsi="Times New Roman;sans-serif"/>
                  <w:b w:val="false"/>
                  <w:color w:val="0000FF"/>
                  <w:sz w:val="20"/>
                  <w:u w:val="single"/>
                </w:rPr>
                <w:t>Condensed Consolidated Balance Sheets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6">
              <w:r>
                <w:rPr>
                  <w:rStyle w:val="InternetLink"/>
                  <w:rFonts w:ascii="Times New Roman;sans-serif" w:hAnsi="Times New Roman;sans-serif"/>
                  <w:b w:val="false"/>
                  <w:color w:val="0000FF"/>
                  <w:sz w:val="20"/>
                  <w:u w:val="single"/>
                </w:rPr>
                <w:t>1</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9">
              <w:r>
                <w:rPr>
                  <w:rStyle w:val="InternetLink"/>
                  <w:rFonts w:ascii="Times New Roman;sans-serif" w:hAnsi="Times New Roman;sans-serif"/>
                  <w:b w:val="false"/>
                  <w:color w:val="0000FF"/>
                  <w:sz w:val="20"/>
                  <w:u w:val="single"/>
                </w:rPr>
                <w:t>Condensed Consolidated Statements of Operations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9">
              <w:r>
                <w:rPr>
                  <w:rStyle w:val="InternetLink"/>
                  <w:rFonts w:ascii="Times New Roman;sans-serif" w:hAnsi="Times New Roman;sans-serif"/>
                  <w:b w:val="false"/>
                  <w:color w:val="0000FF"/>
                  <w:sz w:val="20"/>
                  <w:u w:val="single"/>
                </w:rPr>
                <w:t>2</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22">
              <w:r>
                <w:rPr>
                  <w:rStyle w:val="InternetLink"/>
                  <w:rFonts w:ascii="Times New Roman;sans-serif" w:hAnsi="Times New Roman;sans-serif"/>
                  <w:b w:val="false"/>
                  <w:color w:val="0000FF"/>
                  <w:sz w:val="20"/>
                  <w:u w:val="single"/>
                </w:rPr>
                <w:t>Condensed Consolidated Statements of Comprehensive Income</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22">
              <w:r>
                <w:rPr>
                  <w:rStyle w:val="InternetLink"/>
                  <w:rFonts w:ascii="Times New Roman;sans-serif" w:hAnsi="Times New Roman;sans-serif"/>
                  <w:b w:val="false"/>
                  <w:color w:val="0000FF"/>
                  <w:sz w:val="20"/>
                  <w:u w:val="single"/>
                </w:rPr>
                <w:t>3</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25">
              <w:r>
                <w:rPr>
                  <w:rStyle w:val="InternetLink"/>
                  <w:rFonts w:ascii="Times New Roman;sans-serif" w:hAnsi="Times New Roman;sans-serif"/>
                  <w:b w:val="false"/>
                  <w:color w:val="0000FF"/>
                  <w:sz w:val="20"/>
                  <w:u w:val="single"/>
                </w:rPr>
                <w:t>Condensed Consolidated Statements of Stockholders’ Equity</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25">
              <w:r>
                <w:rPr>
                  <w:rStyle w:val="InternetLink"/>
                  <w:rFonts w:ascii="Times New Roman;sans-serif" w:hAnsi="Times New Roman;sans-serif"/>
                  <w:b w:val="false"/>
                  <w:color w:val="0000FF"/>
                  <w:sz w:val="20"/>
                  <w:u w:val="single"/>
                </w:rPr>
                <w:t>4</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28">
              <w:r>
                <w:rPr>
                  <w:rStyle w:val="InternetLink"/>
                  <w:rFonts w:ascii="Times New Roman;sans-serif" w:hAnsi="Times New Roman;sans-serif"/>
                  <w:b w:val="false"/>
                  <w:color w:val="0000FF"/>
                  <w:sz w:val="20"/>
                  <w:u w:val="single"/>
                </w:rPr>
                <w:t>Condensed Consolidated Statements of Cash Flows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28">
              <w:r>
                <w:rPr>
                  <w:rStyle w:val="InternetLink"/>
                  <w:rFonts w:ascii="Times New Roman;sans-serif" w:hAnsi="Times New Roman;sans-serif"/>
                  <w:b w:val="false"/>
                  <w:color w:val="0000FF"/>
                  <w:sz w:val="20"/>
                  <w:u w:val="single"/>
                </w:rPr>
                <w:t>5</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31">
              <w:r>
                <w:rPr>
                  <w:rStyle w:val="InternetLink"/>
                  <w:rFonts w:ascii="Times New Roman;sans-serif" w:hAnsi="Times New Roman;sans-serif"/>
                  <w:b w:val="false"/>
                  <w:color w:val="0000FF"/>
                  <w:sz w:val="20"/>
                  <w:u w:val="single"/>
                </w:rPr>
                <w:t>Notes to Condensed Consolidated Financial Statements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31">
              <w:r>
                <w:rPr>
                  <w:rStyle w:val="InternetLink"/>
                  <w:rFonts w:ascii="Times New Roman;sans-serif" w:hAnsi="Times New Roman;sans-serif"/>
                  <w:b w:val="false"/>
                  <w:color w:val="0000FF"/>
                  <w:sz w:val="20"/>
                  <w:u w:val="single"/>
                </w:rPr>
                <w:t>6</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76">
              <w:r>
                <w:rPr>
                  <w:rStyle w:val="InternetLink"/>
                  <w:rFonts w:ascii="Times New Roman;sans-serif" w:hAnsi="Times New Roman;sans-serif"/>
                  <w:b w:val="false"/>
                  <w:color w:val="0000FF"/>
                  <w:sz w:val="20"/>
                  <w:u w:val="single"/>
                </w:rPr>
                <w:t>17</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06">
              <w:r>
                <w:rPr>
                  <w:rStyle w:val="InternetLink"/>
                  <w:rFonts w:ascii="Times New Roman;sans-serif" w:hAnsi="Times New Roman;sans-serif"/>
                  <w:b w:val="false"/>
                  <w:color w:val="0000FF"/>
                  <w:sz w:val="20"/>
                  <w:u w:val="single"/>
                </w:rPr>
                <w:t>Quantitative and Qualitative Disclosures About Market Risk</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06">
              <w:r>
                <w:rPr>
                  <w:rStyle w:val="InternetLink"/>
                  <w:rFonts w:ascii="Times New Roman;sans-serif" w:hAnsi="Times New Roman;sans-serif"/>
                  <w:b w:val="false"/>
                  <w:color w:val="0000FF"/>
                  <w:sz w:val="20"/>
                  <w:u w:val="single"/>
                </w:rPr>
                <w:t>31</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09">
              <w:r>
                <w:rPr>
                  <w:rStyle w:val="InternetLink"/>
                  <w:rFonts w:ascii="Times New Roman;sans-serif" w:hAnsi="Times New Roman;sans-serif"/>
                  <w:b w:val="false"/>
                  <w:color w:val="0000FF"/>
                  <w:sz w:val="20"/>
                  <w:u w:val="single"/>
                </w:rPr>
                <w:t>Controls and Procedures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09">
              <w:r>
                <w:rPr>
                  <w:rStyle w:val="InternetLink"/>
                  <w:rFonts w:ascii="Times New Roman;sans-serif" w:hAnsi="Times New Roman;sans-serif"/>
                  <w:b w:val="false"/>
                  <w:color w:val="0000FF"/>
                  <w:sz w:val="20"/>
                  <w:u w:val="single"/>
                </w:rPr>
                <w:t>31</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0" w:type="dxa"/>
            <w:gridSpan w:val="9"/>
            <w:tcBorders/>
            <w:shd w:fill="auto" w:val="clear"/>
            <w:tcMar>
              <w:top w:w="0" w:type="dxa"/>
              <w:left w:w="0" w:type="dxa"/>
              <w:bottom w:w="0" w:type="dxa"/>
              <w:right w:w="0" w:type="dxa"/>
            </w:tcMar>
            <w:vAlign w:val="center"/>
          </w:tcPr>
          <w:p>
            <w:pPr>
              <w:pStyle w:val="TableContents"/>
              <w:spacing w:lineRule="auto" w:line="256" w:before="120" w:after="283"/>
              <w:jc w:val="center"/>
              <w:rPr/>
            </w:pPr>
            <w:hyperlink w:anchor="i9d24e51db3394dafb34bd55b19574ed5_112">
              <w:r>
                <w:rPr>
                  <w:rStyle w:val="InternetLink"/>
                  <w:rFonts w:ascii="Times New Roman;sans-serif" w:hAnsi="Times New Roman;sans-serif"/>
                  <w:b/>
                  <w:color w:val="0000FF"/>
                  <w:sz w:val="20"/>
                  <w:u w:val="single"/>
                </w:rPr>
                <w:t>PART II - OTHER INFORMATION</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15">
              <w:r>
                <w:rPr>
                  <w:rStyle w:val="InternetLink"/>
                  <w:rFonts w:ascii="Times New Roman;sans-serif" w:hAnsi="Times New Roman;sans-serif"/>
                  <w:b w:val="false"/>
                  <w:color w:val="0000FF"/>
                  <w:sz w:val="20"/>
                  <w:u w:val="single"/>
                </w:rPr>
                <w:t>Legal Proceedings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15">
              <w:r>
                <w:rPr>
                  <w:rStyle w:val="InternetLink"/>
                  <w:rFonts w:ascii="Times New Roman;sans-serif" w:hAnsi="Times New Roman;sans-serif"/>
                  <w:b w:val="false"/>
                  <w:color w:val="0000FF"/>
                  <w:sz w:val="20"/>
                  <w:u w:val="single"/>
                </w:rPr>
                <w:t>32</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18">
              <w:r>
                <w:rPr>
                  <w:rStyle w:val="InternetLink"/>
                  <w:rFonts w:ascii="Times New Roman;sans-serif" w:hAnsi="Times New Roman;sans-serif"/>
                  <w:b w:val="false"/>
                  <w:color w:val="0000FF"/>
                  <w:sz w:val="20"/>
                  <w:u w:val="single"/>
                </w:rPr>
                <w:t>Risk Factors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18">
              <w:r>
                <w:rPr>
                  <w:rStyle w:val="InternetLink"/>
                  <w:rFonts w:ascii="Times New Roman;sans-serif" w:hAnsi="Times New Roman;sans-serif"/>
                  <w:b w:val="false"/>
                  <w:color w:val="0000FF"/>
                  <w:sz w:val="20"/>
                  <w:u w:val="single"/>
                </w:rPr>
                <w:t>32</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21">
              <w:r>
                <w:rPr>
                  <w:rStyle w:val="InternetLink"/>
                  <w:rFonts w:ascii="Times New Roman;sans-serif" w:hAnsi="Times New Roman;sans-serif"/>
                  <w:b w:val="false"/>
                  <w:color w:val="0000FF"/>
                  <w:sz w:val="20"/>
                  <w:u w:val="single"/>
                </w:rPr>
                <w:t>Unregistered Sales of Equity Securities and Use of Proceeds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21">
              <w:r>
                <w:rPr>
                  <w:rStyle w:val="InternetLink"/>
                  <w:rFonts w:ascii="Times New Roman;sans-serif" w:hAnsi="Times New Roman;sans-serif"/>
                  <w:b w:val="false"/>
                  <w:color w:val="0000FF"/>
                  <w:sz w:val="20"/>
                  <w:u w:val="single"/>
                </w:rPr>
                <w:t>59</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24">
              <w:r>
                <w:rPr>
                  <w:rStyle w:val="InternetLink"/>
                  <w:rFonts w:ascii="Times New Roman;sans-serif" w:hAnsi="Times New Roman;sans-serif"/>
                  <w:b w:val="false"/>
                  <w:color w:val="0000FF"/>
                  <w:sz w:val="20"/>
                  <w:u w:val="single"/>
                </w:rPr>
                <w:t>Defaults Upon Senior Securities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24">
              <w:r>
                <w:rPr>
                  <w:rStyle w:val="InternetLink"/>
                  <w:rFonts w:ascii="Times New Roman;sans-serif" w:hAnsi="Times New Roman;sans-serif"/>
                  <w:b w:val="false"/>
                  <w:color w:val="0000FF"/>
                  <w:sz w:val="20"/>
                  <w:u w:val="single"/>
                </w:rPr>
                <w:t>59</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27">
              <w:r>
                <w:rPr>
                  <w:rStyle w:val="InternetLink"/>
                  <w:rFonts w:ascii="Times New Roman;sans-serif" w:hAnsi="Times New Roman;sans-serif"/>
                  <w:b w:val="false"/>
                  <w:color w:val="0000FF"/>
                  <w:sz w:val="20"/>
                  <w:u w:val="single"/>
                </w:rPr>
                <w:t>Mine Safety Disclosures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27">
              <w:r>
                <w:rPr>
                  <w:rStyle w:val="InternetLink"/>
                  <w:rFonts w:ascii="Times New Roman;sans-serif" w:hAnsi="Times New Roman;sans-serif"/>
                  <w:b w:val="false"/>
                  <w:color w:val="0000FF"/>
                  <w:sz w:val="20"/>
                  <w:u w:val="single"/>
                </w:rPr>
                <w:t>59</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30">
              <w:r>
                <w:rPr>
                  <w:rStyle w:val="InternetLink"/>
                  <w:rFonts w:ascii="Times New Roman;sans-serif" w:hAnsi="Times New Roman;sans-serif"/>
                  <w:b w:val="false"/>
                  <w:color w:val="0000FF"/>
                  <w:sz w:val="20"/>
                  <w:u w:val="single"/>
                </w:rPr>
                <w:t>Other Information</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30">
              <w:r>
                <w:rPr>
                  <w:rStyle w:val="InternetLink"/>
                  <w:rFonts w:ascii="Times New Roman;sans-serif" w:hAnsi="Times New Roman;sans-serif"/>
                  <w:b w:val="false"/>
                  <w:color w:val="0000FF"/>
                  <w:sz w:val="20"/>
                  <w:u w:val="single"/>
                </w:rPr>
                <w:t>59</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6. </w:t>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33">
              <w:r>
                <w:rPr>
                  <w:rStyle w:val="InternetLink"/>
                  <w:rFonts w:ascii="Times New Roman;sans-serif" w:hAnsi="Times New Roman;sans-serif"/>
                  <w:b w:val="false"/>
                  <w:color w:val="0000FF"/>
                  <w:sz w:val="20"/>
                  <w:u w:val="single"/>
                </w:rPr>
                <w:t>Exhibits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33">
              <w:r>
                <w:rPr>
                  <w:rStyle w:val="InternetLink"/>
                  <w:rFonts w:ascii="Times New Roman;sans-serif" w:hAnsi="Times New Roman;sans-serif"/>
                  <w:b w:val="false"/>
                  <w:color w:val="0000FF"/>
                  <w:sz w:val="20"/>
                  <w:u w:val="single"/>
                </w:rPr>
                <w:t>60</w:t>
              </w:r>
            </w:hyperlink>
          </w:p>
        </w:tc>
      </w:tr>
      <w:tr>
        <w:trPr/>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hyperlink w:anchor="i9d24e51db3394dafb34bd55b19574ed5_136">
              <w:r>
                <w:rPr>
                  <w:rStyle w:val="InternetLink"/>
                  <w:rFonts w:ascii="Times New Roman;sans-serif" w:hAnsi="Times New Roman;sans-serif"/>
                  <w:b w:val="false"/>
                  <w:color w:val="0000FF"/>
                  <w:sz w:val="20"/>
                  <w:u w:val="single"/>
                </w:rPr>
                <w:t>Signatures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hyperlink w:anchor="i9d24e51db3394dafb34bd55b19574ed5_136">
              <w:r>
                <w:rPr>
                  <w:rStyle w:val="InternetLink"/>
                  <w:rFonts w:ascii="Times New Roman;sans-serif" w:hAnsi="Times New Roman;sans-serif"/>
                  <w:b w:val="false"/>
                  <w:color w:val="0000FF"/>
                  <w:sz w:val="20"/>
                  <w:u w:val="single"/>
                </w:rPr>
                <w:t>61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before="120" w:after="283"/>
        <w:rPr/>
      </w:pPr>
      <w:r>
        <w:rPr/>
      </w:r>
    </w:p>
    <w:p>
      <w:pPr>
        <w:pStyle w:val="TextBody"/>
        <w:spacing w:before="120" w:after="283"/>
        <w:rPr/>
      </w:pPr>
      <w:r>
        <w:rPr/>
      </w:r>
    </w:p>
    <w:p>
      <w:pPr>
        <w:pStyle w:val="TextBody"/>
        <w:spacing w:before="120" w:after="283"/>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par values and share data)</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CellMar>
          <w:top w:w="28" w:type="dxa"/>
          <w:left w:w="28" w:type="dxa"/>
          <w:bottom w:w="28" w:type="dxa"/>
          <w:right w:w="28" w:type="dxa"/>
        </w:tblCellMar>
      </w:tblPr>
      <w:tblGrid>
        <w:gridCol w:w="3220"/>
        <w:gridCol w:w="2172"/>
        <w:gridCol w:w="2148"/>
        <w:gridCol w:w="211"/>
        <w:gridCol w:w="826"/>
        <w:gridCol w:w="109"/>
        <w:gridCol w:w="109"/>
        <w:gridCol w:w="109"/>
        <w:gridCol w:w="109"/>
        <w:gridCol w:w="211"/>
        <w:gridCol w:w="826"/>
        <w:gridCol w:w="155"/>
      </w:tblGrid>
      <w:tr>
        <w:trPr/>
        <w:tc>
          <w:tcPr>
            <w:tcW w:w="3220" w:type="dxa"/>
            <w:tcBorders/>
            <w:shd w:fill="auto" w:val="clear"/>
            <w:vAlign w:val="center"/>
          </w:tcPr>
          <w:p>
            <w:pPr>
              <w:pStyle w:val="TableContents"/>
              <w:spacing w:before="0" w:after="283"/>
              <w:rPr>
                <w:sz w:val="4"/>
                <w:szCs w:val="4"/>
              </w:rPr>
            </w:pPr>
            <w:r>
              <w:rPr>
                <w:sz w:val="4"/>
                <w:szCs w:val="4"/>
              </w:rPr>
            </w:r>
          </w:p>
        </w:tc>
        <w:tc>
          <w:tcPr>
            <w:tcW w:w="2172" w:type="dxa"/>
            <w:tcBorders/>
            <w:shd w:fill="auto" w:val="clear"/>
            <w:vAlign w:val="center"/>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503,478 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302,026 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10,000,000 shares authorized as of March 31, 2023 and December 31, 2022; No shares issued and outstanding as of March 31, 2023 and December 31, 2022</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1,000,000,000 Class A shares authorized as of March 31, 2023 and December 31, 2022; 43,657,744 shares issued and 43,070,914 shares outstanding as of March 31, 2023; 43,452,302 shares issued and outstanding as of December 31, 2022; 1,000,000,000 Class B shares authorized as of March 31, 2023 and December 31, 2022; 12,392,302 shares issued and 9,251,865 shares outstanding as of March 31, 2023; 12,393,322 shares issued and 9,252,885 shares outstanding as of December 31, 2022</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3,727,267 and 3,140,437 shares as of March 31,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685"/>
                <wp:effectExtent l="0" t="0" r="0" b="0"/>
                <wp:wrapNone/>
                <wp:docPr id="3" name="Frame3"/>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6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before="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OPERATIONS </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CellMar>
          <w:top w:w="28" w:type="dxa"/>
          <w:left w:w="28" w:type="dxa"/>
          <w:bottom w:w="28" w:type="dxa"/>
          <w:right w:w="28" w:type="dxa"/>
        </w:tblCellMar>
      </w:tblPr>
      <w:tblGrid>
        <w:gridCol w:w="2655"/>
        <w:gridCol w:w="2178"/>
        <w:gridCol w:w="2182"/>
        <w:gridCol w:w="244"/>
        <w:gridCol w:w="837"/>
        <w:gridCol w:w="109"/>
        <w:gridCol w:w="109"/>
        <w:gridCol w:w="109"/>
        <w:gridCol w:w="109"/>
        <w:gridCol w:w="244"/>
        <w:gridCol w:w="837"/>
        <w:gridCol w:w="109"/>
        <w:gridCol w:w="109"/>
        <w:gridCol w:w="109"/>
        <w:gridCol w:w="109"/>
        <w:gridCol w:w="156"/>
      </w:tblGrid>
      <w:tr>
        <w:trPr/>
        <w:tc>
          <w:tcPr>
            <w:tcW w:w="2655"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common stockholders: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income (loss) per share attributable to common stockholders: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52,740,352 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51,910,572 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52,740,352 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56,888,179 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30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13080"/>
                <wp:effectExtent l="0" t="0" r="0" b="0"/>
                <wp:wrapNone/>
                <wp:docPr id="4" name="Frame4"/>
                <a:graphic xmlns:a="http://schemas.openxmlformats.org/drawingml/2006/main">
                  <a:graphicData uri="http://schemas.microsoft.com/office/word/2010/wordprocessingShape">
                    <wps:wsp>
                      <wps:cNvSpPr txBox="1"/>
                      <wps:spPr>
                        <a:xfrm>
                          <a:off x="0" y="0"/>
                          <a:ext cx="6480175" cy="513080"/>
                        </a:xfrm>
                        <a:prstGeom prst="rect"/>
                      </wps:spPr>
                      <wps:txbx>
                        <w:txbxContent>
                          <w:p>
                            <w:pPr>
                              <w:pStyle w:val="TextBody"/>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7634" w:type="dxa"/>
        <w:jc w:val="left"/>
        <w:tblInd w:w="0" w:type="dxa"/>
        <w:tblCellMar>
          <w:top w:w="28" w:type="dxa"/>
          <w:left w:w="28" w:type="dxa"/>
          <w:bottom w:w="28" w:type="dxa"/>
          <w:right w:w="28" w:type="dxa"/>
        </w:tblCellMar>
      </w:tblPr>
      <w:tblGrid>
        <w:gridCol w:w="1722"/>
        <w:gridCol w:w="1510"/>
        <w:gridCol w:w="1523"/>
        <w:gridCol w:w="222"/>
        <w:gridCol w:w="729"/>
        <w:gridCol w:w="115"/>
        <w:gridCol w:w="115"/>
        <w:gridCol w:w="115"/>
        <w:gridCol w:w="115"/>
        <w:gridCol w:w="222"/>
        <w:gridCol w:w="650"/>
        <w:gridCol w:w="115"/>
        <w:gridCol w:w="109"/>
        <w:gridCol w:w="109"/>
        <w:gridCol w:w="109"/>
        <w:gridCol w:w="154"/>
      </w:tblGrid>
      <w:tr>
        <w:trPr/>
        <w:tc>
          <w:tcPr>
            <w:tcW w:w="1722"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13080"/>
                <wp:effectExtent l="0" t="0" r="0" b="0"/>
                <wp:wrapNone/>
                <wp:docPr id="5" name="Frame5"/>
                <a:graphic xmlns:a="http://schemas.openxmlformats.org/drawingml/2006/main">
                  <a:graphicData uri="http://schemas.microsoft.com/office/word/2010/wordprocessingShape">
                    <wps:wsp>
                      <wps:cNvSpPr txBox="1"/>
                      <wps:spPr>
                        <a:xfrm>
                          <a:off x="0" y="0"/>
                          <a:ext cx="6480175" cy="513080"/>
                        </a:xfrm>
                        <a:prstGeom prst="rect"/>
                      </wps:spPr>
                      <wps:txbx>
                        <w:txbxContent>
                          <w:p>
                            <w:pPr>
                              <w:pStyle w:val="TextBody"/>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1036" w:type="dxa"/>
        <w:jc w:val="left"/>
        <w:tblInd w:w="0" w:type="dxa"/>
        <w:tblCellMar>
          <w:top w:w="28" w:type="dxa"/>
          <w:left w:w="28" w:type="dxa"/>
          <w:bottom w:w="28" w:type="dxa"/>
          <w:right w:w="28" w:type="dxa"/>
        </w:tblCellMar>
      </w:tblPr>
      <w:tblGrid>
        <w:gridCol w:w="604"/>
        <w:gridCol w:w="373"/>
        <w:gridCol w:w="374"/>
        <w:gridCol w:w="540"/>
        <w:gridCol w:w="541"/>
        <w:gridCol w:w="196"/>
        <w:gridCol w:w="109"/>
        <w:gridCol w:w="109"/>
        <w:gridCol w:w="109"/>
        <w:gridCol w:w="253"/>
        <w:gridCol w:w="307"/>
        <w:gridCol w:w="131"/>
        <w:gridCol w:w="109"/>
        <w:gridCol w:w="109"/>
        <w:gridCol w:w="109"/>
        <w:gridCol w:w="211"/>
        <w:gridCol w:w="736"/>
        <w:gridCol w:w="109"/>
        <w:gridCol w:w="109"/>
        <w:gridCol w:w="109"/>
        <w:gridCol w:w="109"/>
        <w:gridCol w:w="211"/>
        <w:gridCol w:w="826"/>
        <w:gridCol w:w="109"/>
        <w:gridCol w:w="109"/>
        <w:gridCol w:w="109"/>
        <w:gridCol w:w="109"/>
        <w:gridCol w:w="434"/>
        <w:gridCol w:w="557"/>
        <w:gridCol w:w="225"/>
        <w:gridCol w:w="109"/>
        <w:gridCol w:w="109"/>
        <w:gridCol w:w="109"/>
        <w:gridCol w:w="211"/>
        <w:gridCol w:w="826"/>
        <w:gridCol w:w="109"/>
        <w:gridCol w:w="109"/>
        <w:gridCol w:w="109"/>
        <w:gridCol w:w="109"/>
        <w:gridCol w:w="211"/>
        <w:gridCol w:w="826"/>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shd w:fill="auto" w:val="clear"/>
            <w:tcMar>
              <w:top w:w="0" w:type="dxa"/>
              <w:left w:w="0" w:type="dxa"/>
              <w:bottom w:w="0" w:type="dxa"/>
              <w:right w:w="0" w:type="dxa"/>
            </w:tcMar>
            <w:vAlign w:val="center"/>
          </w:tcPr>
          <w:p>
            <w:pPr>
              <w:pStyle w:val="Normal"/>
              <w:rPr/>
            </w:pPr>
            <w:r>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52,705,187 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(586,830)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52,322,779 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tbl>
      <w:tblPr>
        <w:tblW w:w="11036" w:type="dxa"/>
        <w:jc w:val="left"/>
        <w:tblInd w:w="0" w:type="dxa"/>
        <w:tblCellMar>
          <w:top w:w="28" w:type="dxa"/>
          <w:left w:w="28" w:type="dxa"/>
          <w:bottom w:w="28" w:type="dxa"/>
          <w:right w:w="28" w:type="dxa"/>
        </w:tblCellMar>
      </w:tblPr>
      <w:tblGrid>
        <w:gridCol w:w="604"/>
        <w:gridCol w:w="373"/>
        <w:gridCol w:w="374"/>
        <w:gridCol w:w="540"/>
        <w:gridCol w:w="541"/>
        <w:gridCol w:w="196"/>
        <w:gridCol w:w="109"/>
        <w:gridCol w:w="109"/>
        <w:gridCol w:w="109"/>
        <w:gridCol w:w="253"/>
        <w:gridCol w:w="307"/>
        <w:gridCol w:w="131"/>
        <w:gridCol w:w="109"/>
        <w:gridCol w:w="109"/>
        <w:gridCol w:w="109"/>
        <w:gridCol w:w="211"/>
        <w:gridCol w:w="736"/>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09"/>
        <w:gridCol w:w="109"/>
        <w:gridCol w:w="109"/>
        <w:gridCol w:w="109"/>
        <w:gridCol w:w="211"/>
        <w:gridCol w:w="826"/>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shd w:fill="auto" w:val="clear"/>
            <w:tcMar>
              <w:top w:w="0" w:type="dxa"/>
              <w:left w:w="0" w:type="dxa"/>
              <w:bottom w:w="0" w:type="dxa"/>
              <w:right w:w="0" w:type="dxa"/>
            </w:tcMar>
            <w:vAlign w:val="center"/>
          </w:tcPr>
          <w:p>
            <w:pPr>
              <w:pStyle w:val="Normal"/>
              <w:rPr/>
            </w:pPr>
            <w:r>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51,854,749 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52,010,740 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120" w:after="283"/>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before="120" w:after="283"/>
        <w:rPr/>
      </w:pPr>
      <w:r>
        <w:rPr/>
      </w:r>
    </w:p>
    <w:p>
      <w:pPr>
        <w:pStyle w:val="TextBody"/>
        <w:spacing w:before="0" w:after="0"/>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CellMar>
          <w:top w:w="28" w:type="dxa"/>
          <w:left w:w="28" w:type="dxa"/>
          <w:bottom w:w="28" w:type="dxa"/>
          <w:right w:w="28" w:type="dxa"/>
        </w:tblCellMar>
      </w:tblPr>
      <w:tblGrid>
        <w:gridCol w:w="2826"/>
        <w:gridCol w:w="2458"/>
        <w:gridCol w:w="2466"/>
        <w:gridCol w:w="211"/>
        <w:gridCol w:w="721"/>
        <w:gridCol w:w="109"/>
        <w:gridCol w:w="109"/>
        <w:gridCol w:w="109"/>
        <w:gridCol w:w="109"/>
        <w:gridCol w:w="211"/>
        <w:gridCol w:w="721"/>
        <w:gridCol w:w="155"/>
      </w:tblGrid>
      <w:tr>
        <w:trPr/>
        <w:tc>
          <w:tcPr>
            <w:tcW w:w="2826"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24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equity investment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 on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non-current </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acquire treasury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AND FINANCING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capitalized as internal-use software costs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and accrued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included in accounts payable and accrued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new lease obligations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purchase consideration - indemnification claims holdback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PUBMATIC, INC. AND SUBSIDIARIES</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December 31, and its fiscal quarters end on March 31, June 30, September 30, and December 31. References to fiscal year 2023, for example, refer to the fiscal year ending December 31, 2023.</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Condensed Consolidated Financial Information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2023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2022, as filed with the SEC on February 28, 2023 (the “Annual Report”).</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 Certain prior period amounts reported in our condensed consolidated financial statements and notes thereto have been reclassified to conform to the current period presentation.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March 31, 2023, may result in actual outcomes that differ from those contemplated by the Company’s assumptions and estimates.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Revenue and Accounts Receivable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its revenue concentration based on revenue recognized from individual publishers. For the three months ended March 31, 2023 and 2022, one publisher represented 11% and 14%, respectively, of the Company’s revenue. As of March 31, 2023, two buyers accounted for 32% and 20%, respectively, of accounts receivable. As of December 31, 2022, three buyers accounted for 33%, 15%, and 11%, respectively, of accounts receivable.</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Financial Accounting Standards Board (“FASB”) issued Accounting Standards Update (“ASU”) No. 2021-08, Business Combinations (Topic 805): Accounting for Contract Assets and Contract Liabilities from Contracts with Customers, which requires contract assets and contract liabilities acquired in a business combination to be recognized and measured in accordance with Topic 606, Revenue from Contracts with Customers, as if the acquirer had originated the contracts. Under previous GAAP, such assets and liabilities were recognized by the acquirer at fair value on the acquisition date. The Company adopted ASU 2021-08 as of January 1, 2023. The adoption of ASU 2021-08 did not have a material impact on the Company’s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3 – Fair Value Measurements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fair value of the Company’s financial assets and liabilities measured on a recurring basis by level within the fair value hierarchy (in thousands): </w:t>
      </w:r>
    </w:p>
    <w:tbl>
      <w:tblPr>
        <w:tblW w:w="8865" w:type="dxa"/>
        <w:jc w:val="left"/>
        <w:tblInd w:w="0" w:type="dxa"/>
        <w:tblCellMar>
          <w:top w:w="28" w:type="dxa"/>
          <w:left w:w="28" w:type="dxa"/>
          <w:bottom w:w="28" w:type="dxa"/>
          <w:right w:w="28" w:type="dxa"/>
        </w:tblCellMar>
      </w:tblPr>
      <w:tblGrid>
        <w:gridCol w:w="1368"/>
        <w:gridCol w:w="1202"/>
        <w:gridCol w:w="1210"/>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368"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securities by significant investment categories (in thousands):</w:t>
      </w:r>
    </w:p>
    <w:tbl>
      <w:tblPr>
        <w:tblW w:w="9626" w:type="dxa"/>
        <w:jc w:val="left"/>
        <w:tblInd w:w="0" w:type="dxa"/>
        <w:tblCellMar>
          <w:top w:w="28" w:type="dxa"/>
          <w:left w:w="28" w:type="dxa"/>
          <w:bottom w:w="28" w:type="dxa"/>
          <w:right w:w="28" w:type="dxa"/>
        </w:tblCellMar>
      </w:tblPr>
      <w:tblGrid>
        <w:gridCol w:w="1368"/>
        <w:gridCol w:w="1203"/>
        <w:gridCol w:w="1208"/>
        <w:gridCol w:w="252"/>
        <w:gridCol w:w="863"/>
        <w:gridCol w:w="130"/>
        <w:gridCol w:w="109"/>
        <w:gridCol w:w="109"/>
        <w:gridCol w:w="109"/>
        <w:gridCol w:w="374"/>
        <w:gridCol w:w="721"/>
        <w:gridCol w:w="195"/>
        <w:gridCol w:w="109"/>
        <w:gridCol w:w="109"/>
        <w:gridCol w:w="109"/>
        <w:gridCol w:w="361"/>
        <w:gridCol w:w="696"/>
        <w:gridCol w:w="188"/>
        <w:gridCol w:w="109"/>
        <w:gridCol w:w="109"/>
        <w:gridCol w:w="109"/>
        <w:gridCol w:w="211"/>
        <w:gridCol w:w="721"/>
        <w:gridCol w:w="154"/>
      </w:tblGrid>
      <w:tr>
        <w:trPr/>
        <w:tc>
          <w:tcPr>
            <w:tcW w:w="1368"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7"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7"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contractual maturity of all marketable securities was within one year as of March 31, 2023 and December 31, 2022. Realized gains and losses were immaterial for the three months ended March 31, 2023 and 2022. As of March 31, 2023 and 2022, there were no securities that were in an unrealized loss position for more than twelve months.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6931" w:type="dxa"/>
        <w:jc w:val="left"/>
        <w:tblInd w:w="0" w:type="dxa"/>
        <w:tblCellMar>
          <w:top w:w="28" w:type="dxa"/>
          <w:left w:w="28" w:type="dxa"/>
          <w:bottom w:w="28" w:type="dxa"/>
          <w:right w:w="28" w:type="dxa"/>
        </w:tblCellMar>
      </w:tblPr>
      <w:tblGrid>
        <w:gridCol w:w="1600"/>
        <w:gridCol w:w="1408"/>
        <w:gridCol w:w="1416"/>
        <w:gridCol w:w="211"/>
        <w:gridCol w:w="721"/>
        <w:gridCol w:w="109"/>
        <w:gridCol w:w="109"/>
        <w:gridCol w:w="109"/>
        <w:gridCol w:w="109"/>
        <w:gridCol w:w="221"/>
        <w:gridCol w:w="757"/>
        <w:gridCol w:w="161"/>
      </w:tblGrid>
      <w:tr>
        <w:trPr/>
        <w:tc>
          <w:tcPr>
            <w:tcW w:w="1600"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hardware, 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129,212 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71,156 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equipment, and software (excluding amortization of internal-use software) was $7.3 million and $5.0 million for the three months ended March 31, 2023 and 2022, respectively.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$5.4 million and $3.3 million in software development costs during the three months ended March 31, 2023 and 2022, respectively. Amortization expense of internal-use software was $2.8 million and $2.2 million during the three months ended March 31, 2023 and 2022, respectively. These costs are included within cost of revenue in the condensed consolidated statements of operations.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recognize any impairment charges on its long-lived assets during the three months ended March 31, 2023 and 2022, respectively.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Accounts Payable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consisted of the following (in thousands):</w:t>
      </w:r>
    </w:p>
    <w:tbl>
      <w:tblPr>
        <w:tblW w:w="4674" w:type="dxa"/>
        <w:jc w:val="left"/>
        <w:tblInd w:w="0" w:type="dxa"/>
        <w:tblCellMar>
          <w:top w:w="28" w:type="dxa"/>
          <w:left w:w="28" w:type="dxa"/>
          <w:bottom w:w="28" w:type="dxa"/>
          <w:right w:w="28" w:type="dxa"/>
        </w:tblCellMar>
      </w:tblPr>
      <w:tblGrid>
        <w:gridCol w:w="728"/>
        <w:gridCol w:w="640"/>
        <w:gridCol w:w="642"/>
        <w:gridCol w:w="211"/>
        <w:gridCol w:w="826"/>
        <w:gridCol w:w="109"/>
        <w:gridCol w:w="109"/>
        <w:gridCol w:w="109"/>
        <w:gridCol w:w="109"/>
        <w:gridCol w:w="211"/>
        <w:gridCol w:w="826"/>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publishers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277,414 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552" w:type="dxa"/>
        <w:jc w:val="left"/>
        <w:tblInd w:w="0" w:type="dxa"/>
        <w:tblCellMar>
          <w:top w:w="28" w:type="dxa"/>
          <w:left w:w="28" w:type="dxa"/>
          <w:bottom w:w="28" w:type="dxa"/>
          <w:right w:w="28" w:type="dxa"/>
        </w:tblCellMar>
      </w:tblPr>
      <w:tblGrid>
        <w:gridCol w:w="1103"/>
        <w:gridCol w:w="968"/>
        <w:gridCol w:w="974"/>
        <w:gridCol w:w="211"/>
        <w:gridCol w:w="721"/>
        <w:gridCol w:w="109"/>
        <w:gridCol w:w="109"/>
        <w:gridCol w:w="109"/>
        <w:gridCol w:w="109"/>
        <w:gridCol w:w="221"/>
        <w:gridCol w:w="757"/>
        <w:gridCol w:w="161"/>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5 – Senior Secured Credit Facilities Agreement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9)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As of March 31, 2023, the applicable interest rate under the revolving credit facility was 7.00%.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To date, the Company is in compliance with the affirmative and negative covenants.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use amounts borrowed under the Credit Agreement for general corporate purposes or working capital financing. The Company may borrow additional amounts under the Credit Agreement from time to time as opportunities and needs arise.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condensed consolidated financial statements.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 (in thousands):</w:t>
      </w:r>
    </w:p>
    <w:tbl>
      <w:tblPr>
        <w:tblW w:w="7365" w:type="dxa"/>
        <w:jc w:val="left"/>
        <w:tblInd w:w="0" w:type="dxa"/>
        <w:tblCellMar>
          <w:top w:w="28" w:type="dxa"/>
          <w:left w:w="28" w:type="dxa"/>
          <w:bottom w:w="28" w:type="dxa"/>
          <w:right w:w="28" w:type="dxa"/>
        </w:tblCellMar>
      </w:tblPr>
      <w:tblGrid>
        <w:gridCol w:w="1623"/>
        <w:gridCol w:w="1426"/>
        <w:gridCol w:w="1436"/>
        <w:gridCol w:w="230"/>
        <w:gridCol w:w="672"/>
        <w:gridCol w:w="119"/>
        <w:gridCol w:w="119"/>
        <w:gridCol w:w="119"/>
        <w:gridCol w:w="119"/>
        <w:gridCol w:w="230"/>
        <w:gridCol w:w="672"/>
        <w:gridCol w:w="119"/>
        <w:gridCol w:w="109"/>
        <w:gridCol w:w="109"/>
        <w:gridCol w:w="109"/>
        <w:gridCol w:w="154"/>
      </w:tblGrid>
      <w:tr>
        <w:trPr/>
        <w:tc>
          <w:tcPr>
            <w:tcW w:w="1623"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amortization of right-of-use assets</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interest on lease liabilities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 weighted average discount rate of 3.25% and 2.24% has been applied to the remaining operating and finance lease payments, respectively, to calculate the lease liabilities included within the condensed consolidated balance sheets. The weighted average remaining lease term of operating and finance leases is 4.4 and 5.0 years, respectively, as of March 31, 2023.</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maturities of lease liabilities under operating and finance leases were as follows (in thousands):</w:t>
      </w:r>
    </w:p>
    <w:tbl>
      <w:tblPr>
        <w:tblW w:w="7454" w:type="dxa"/>
        <w:jc w:val="left"/>
        <w:tblInd w:w="0" w:type="dxa"/>
        <w:tblCellMar>
          <w:top w:w="28" w:type="dxa"/>
          <w:left w:w="28" w:type="dxa"/>
          <w:bottom w:w="28" w:type="dxa"/>
          <w:right w:w="28" w:type="dxa"/>
        </w:tblCellMar>
      </w:tblPr>
      <w:tblGrid>
        <w:gridCol w:w="1145"/>
        <w:gridCol w:w="1006"/>
        <w:gridCol w:w="1013"/>
        <w:gridCol w:w="276"/>
        <w:gridCol w:w="946"/>
        <w:gridCol w:w="143"/>
        <w:gridCol w:w="109"/>
        <w:gridCol w:w="109"/>
        <w:gridCol w:w="109"/>
        <w:gridCol w:w="318"/>
        <w:gridCol w:w="703"/>
        <w:gridCol w:w="164"/>
        <w:gridCol w:w="109"/>
        <w:gridCol w:w="109"/>
        <w:gridCol w:w="109"/>
        <w:gridCol w:w="211"/>
        <w:gridCol w:w="721"/>
        <w:gridCol w:w="154"/>
      </w:tblGrid>
      <w:tr>
        <w:trPr/>
        <w:tc>
          <w:tcPr>
            <w:tcW w:w="1145"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7 – Business Combination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2022, the Company acquired all outstanding stock of ConsultMates, Inc. (dba “Martin”), a media measurement and reporting platform, for $30.8 million. The acquisition is in response to growing demand from the Company’s buy-side customers for enhanced tools to take advantage of the Company’s global omnichannel inventory, including market-leading addressability solutions and innovative technology to enable supply path optimization. The assets acquired and liabilities assumed were recorded at fair value. The purchase price excludes $14.2 million of post-acquisition cash compensation arrangements for certain key acquired employees to be paid ratably over three years following the closing of the acquisition (subject to forfeiture upon termination). The purchase price was attributed to $7.9 million of developed technology intangible assets, $1.0 million of customer relationship intangible assets, $23.3 million of goodwill, $1.1 million of deferred tax liabilities, and $0.3 million of net liabilities assumed. The fair values of assets acquired and liabilities assumed may change over the measurement period as additional information is received. The measurement period will end no later than one year from the acquisition date. The goodwill recognized was primarily attributable to the assembled workforce and the expected synergies from integrating Martin’s technology into the Company’s platform. Goodwill is not expected to be deductible for tax purposes. The financial results of Martin are included in the Company’s condensed consolidated financial statements from the date of acquisition. Separate operating results and pro forma results of operations for Martin have not been presented as the effect of this acquisition was not material to the Company’s financial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8 - Acquisition-related Intangible Assets, Net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Acquisition-related Intangible Assets, Net</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 consisted of the following (in thousands):</w:t>
      </w:r>
    </w:p>
    <w:tbl>
      <w:tblPr>
        <w:tblW w:w="10205" w:type="dxa"/>
        <w:jc w:val="left"/>
        <w:tblInd w:w="0" w:type="dxa"/>
        <w:tblCellMar>
          <w:top w:w="28" w:type="dxa"/>
          <w:left w:w="28" w:type="dxa"/>
          <w:bottom w:w="28" w:type="dxa"/>
          <w:right w:w="28" w:type="dxa"/>
        </w:tblCellMar>
      </w:tblPr>
      <w:tblGrid>
        <w:gridCol w:w="1244"/>
        <w:gridCol w:w="1088"/>
        <w:gridCol w:w="1080"/>
        <w:gridCol w:w="109"/>
        <w:gridCol w:w="470"/>
        <w:gridCol w:w="1374"/>
        <w:gridCol w:w="242"/>
        <w:gridCol w:w="109"/>
        <w:gridCol w:w="523"/>
        <w:gridCol w:w="1535"/>
        <w:gridCol w:w="273"/>
        <w:gridCol w:w="109"/>
        <w:gridCol w:w="425"/>
        <w:gridCol w:w="1244"/>
        <w:gridCol w:w="220"/>
        <w:gridCol w:w="160"/>
      </w:tblGrid>
      <w:tr>
        <w:trPr/>
        <w:tc>
          <w:tcPr>
            <w:tcW w:w="124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6"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2158" w:type="dxa"/>
            <w:gridSpan w:val="5"/>
            <w:tcBorders/>
            <w:shd w:fill="auto" w:val="clear"/>
          </w:tcPr>
          <w:p>
            <w:pPr>
              <w:pStyle w:val="TableContents"/>
              <w:spacing w:before="0" w:after="283"/>
              <w:rPr>
                <w:sz w:val="4"/>
                <w:szCs w:val="4"/>
              </w:rPr>
            </w:pPr>
            <w:r>
              <w:rPr>
                <w:sz w:val="4"/>
                <w:szCs w:val="4"/>
              </w:rPr>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109" w:type="dxa"/>
            <w:tcBorders/>
            <w:shd w:fill="auto" w:val="clear"/>
            <w:vAlign w:val="center"/>
          </w:tcPr>
          <w:p>
            <w:pPr>
              <w:pStyle w:val="TableContents"/>
              <w:spacing w:before="0" w:after="283"/>
              <w:rPr>
                <w:sz w:val="4"/>
                <w:szCs w:val="4"/>
              </w:rPr>
            </w:pPr>
            <w:r>
              <w:rPr>
                <w:sz w:val="4"/>
                <w:szCs w:val="4"/>
              </w:rPr>
            </w:r>
          </w:p>
        </w:tc>
        <w:tc>
          <w:tcPr>
            <w:tcW w:w="23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9" w:type="dxa"/>
            <w:tcBorders/>
            <w:shd w:fill="auto" w:val="clear"/>
            <w:vAlign w:val="center"/>
          </w:tcPr>
          <w:p>
            <w:pPr>
              <w:pStyle w:val="TableContents"/>
              <w:spacing w:before="0" w:after="283"/>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6"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158" w:type="dxa"/>
            <w:gridSpan w:val="5"/>
            <w:tcBorders/>
            <w:shd w:fill="auto" w:val="clear"/>
          </w:tcPr>
          <w:p>
            <w:pPr>
              <w:pStyle w:val="TableContents"/>
              <w:spacing w:before="0" w:after="283"/>
              <w:rPr>
                <w:sz w:val="4"/>
                <w:szCs w:val="4"/>
              </w:rPr>
            </w:pPr>
            <w:r>
              <w:rPr>
                <w:sz w:val="4"/>
                <w:szCs w:val="4"/>
              </w:rPr>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109" w:type="dxa"/>
            <w:tcBorders/>
            <w:shd w:fill="auto" w:val="clear"/>
            <w:vAlign w:val="center"/>
          </w:tcPr>
          <w:p>
            <w:pPr>
              <w:pStyle w:val="TableContents"/>
              <w:spacing w:before="0" w:after="283"/>
              <w:rPr>
                <w:sz w:val="4"/>
                <w:szCs w:val="4"/>
              </w:rPr>
            </w:pPr>
            <w:r>
              <w:rPr>
                <w:sz w:val="4"/>
                <w:szCs w:val="4"/>
              </w:rPr>
            </w:r>
          </w:p>
        </w:tc>
        <w:tc>
          <w:tcPr>
            <w:tcW w:w="23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9" w:type="dxa"/>
            <w:tcBorders/>
            <w:shd w:fill="auto" w:val="clear"/>
            <w:vAlign w:val="center"/>
          </w:tcPr>
          <w:p>
            <w:pPr>
              <w:pStyle w:val="TableContents"/>
              <w:spacing w:before="0" w:after="283"/>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useful life of developed technology was 4.5 years as of March 31, 2023. Amortization expense related to acquisition-related intangibles was $1.3 million for the three months ended March 31, 2023.</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estimated future amortization expense for acquisition-related intangible assets was as follows (in thousands):</w:t>
      </w:r>
    </w:p>
    <w:tbl>
      <w:tblPr>
        <w:tblW w:w="8319" w:type="dxa"/>
        <w:jc w:val="left"/>
        <w:tblInd w:w="0" w:type="dxa"/>
        <w:tblCellMar>
          <w:top w:w="28" w:type="dxa"/>
          <w:left w:w="28" w:type="dxa"/>
          <w:bottom w:w="28" w:type="dxa"/>
          <w:right w:w="28" w:type="dxa"/>
        </w:tblCellMar>
      </w:tblPr>
      <w:tblGrid>
        <w:gridCol w:w="2616"/>
        <w:gridCol w:w="2298"/>
        <w:gridCol w:w="2315"/>
        <w:gridCol w:w="109"/>
        <w:gridCol w:w="211"/>
        <w:gridCol w:w="616"/>
        <w:gridCol w:w="154"/>
      </w:tblGrid>
      <w:tr>
        <w:trPr/>
        <w:tc>
          <w:tcPr>
            <w:tcW w:w="2616"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Total estimated future amortization expense for acquisition-related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Note 9 – Commitments and Contingencies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 obligations primarily relate to minimum contractual payments due to data center providers. During the three months ended March 31, 2023, there were no material changes to the Company’s non-cancelable purchase obligations disclosed in the Company’s Annual Report on Form 10-K for the fiscal year ended December 31, 2022.</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two irrevocable letters of credit outstanding related to non-cancelable facilities leases in the amounts of $3.5 million and $0.5 million, with annual automatic renewal and final expiration dates in July 2028 and April 2025, respectively.</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10 – Stockholders’ Equity and Equity Incentive Plans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Company’s board of directors authorized the Company to repurchase up to $75 million of its Class A common stock (“2023 Repurchase Program”). As of March 31, 2023, $67.1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authorization of the Company’s board of directors, during the three months ended March 31, 2023, we repurchased 586,830 aggregate shares of Class A common stock for $7.9 million.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2024.</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the 2020 Equity Incentive Plan (“2020 Plan”), pursuant to which the Company may grant stock options, restricted stock awards, stock appreciation rights, restricted stock units (“RSUs”), deferred stock units (“DSUs”) performance awards, and stock bonus awards. As of March 31, 2023, the Company has reserved 6,597,753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and related information under the Company’s equity incentive plans:</w:t>
      </w:r>
    </w:p>
    <w:tbl>
      <w:tblPr>
        <w:tblW w:w="10205" w:type="dxa"/>
        <w:jc w:val="left"/>
        <w:tblInd w:w="0" w:type="dxa"/>
        <w:tblCellMar>
          <w:top w:w="28" w:type="dxa"/>
          <w:left w:w="28" w:type="dxa"/>
          <w:bottom w:w="28" w:type="dxa"/>
          <w:right w:w="28" w:type="dxa"/>
        </w:tblCellMar>
      </w:tblPr>
      <w:tblGrid>
        <w:gridCol w:w="670"/>
        <w:gridCol w:w="589"/>
        <w:gridCol w:w="590"/>
        <w:gridCol w:w="821"/>
        <w:gridCol w:w="602"/>
        <w:gridCol w:w="604"/>
        <w:gridCol w:w="109"/>
        <w:gridCol w:w="109"/>
        <w:gridCol w:w="109"/>
        <w:gridCol w:w="399"/>
        <w:gridCol w:w="1167"/>
        <w:gridCol w:w="207"/>
        <w:gridCol w:w="109"/>
        <w:gridCol w:w="109"/>
        <w:gridCol w:w="109"/>
        <w:gridCol w:w="637"/>
        <w:gridCol w:w="637"/>
        <w:gridCol w:w="639"/>
        <w:gridCol w:w="109"/>
        <w:gridCol w:w="109"/>
        <w:gridCol w:w="109"/>
        <w:gridCol w:w="321"/>
        <w:gridCol w:w="1100"/>
        <w:gridCol w:w="241"/>
      </w:tblGrid>
      <w:tr>
        <w:trPr/>
        <w:tc>
          <w:tcPr>
            <w:tcW w:w="67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1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December 31, 2022</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6,476,239 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1,313,004 </w:t>
            </w:r>
          </w:p>
        </w:tc>
        <w:tc>
          <w:tcPr>
            <w:tcW w:w="6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4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(108,597)</w:t>
            </w:r>
          </w:p>
        </w:tc>
        <w:tc>
          <w:tcPr>
            <w:tcW w:w="6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w:t>
            </w:r>
          </w:p>
        </w:tc>
        <w:tc>
          <w:tcPr>
            <w:tcW w:w="6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4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w:t>
            </w:r>
          </w:p>
        </w:tc>
        <w:tc>
          <w:tcPr>
            <w:tcW w:w="6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March 31, 2023</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7,662,538 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 March 31, 2023</w:t>
            </w:r>
          </w:p>
        </w:tc>
        <w:tc>
          <w:tcPr>
            <w:tcW w:w="142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5,245,258 </w:t>
            </w:r>
          </w:p>
        </w:tc>
        <w:tc>
          <w:tcPr>
            <w:tcW w:w="6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53,940 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unrecognized stock-based compensation of $23.0 million related to unvested stock options will be recognized on a straight-line basis over a weighted average period of 2.76 years.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and related information under the Company’s 2020 Plan:</w:t>
      </w:r>
    </w:p>
    <w:tbl>
      <w:tblPr>
        <w:tblW w:w="8493" w:type="dxa"/>
        <w:jc w:val="left"/>
        <w:tblInd w:w="0" w:type="dxa"/>
        <w:tblCellMar>
          <w:top w:w="28" w:type="dxa"/>
          <w:left w:w="28" w:type="dxa"/>
          <w:bottom w:w="28" w:type="dxa"/>
          <w:right w:w="28" w:type="dxa"/>
        </w:tblCellMar>
      </w:tblPr>
      <w:tblGrid>
        <w:gridCol w:w="994"/>
        <w:gridCol w:w="874"/>
        <w:gridCol w:w="877"/>
        <w:gridCol w:w="488"/>
        <w:gridCol w:w="488"/>
        <w:gridCol w:w="471"/>
        <w:gridCol w:w="109"/>
        <w:gridCol w:w="109"/>
        <w:gridCol w:w="109"/>
        <w:gridCol w:w="854"/>
        <w:gridCol w:w="2494"/>
        <w:gridCol w:w="626"/>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249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1,581,982 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2,049,867 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6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(95,825)</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(26,512)</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6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 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3,509,512 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unrecognized stock-based compensation of $65.3 million related to unvested RSUs will be recognized on a straight-line basis over a weighted average period of 3.26 years.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board of directors adopted, and its stockholders approved, the 2020 Employee Stock Purchase Plan (“ESPP”), which became effective in connection with the Company’s IPO. A total of 500,000 shares of the Company’s Class A common stock were initially reserved for issuance under the ESPP.</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March 31, 2023, the Company had reserved 529,888 shares of its Class A common stock for issuance under the ESPP.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March 31, 2023, $0.7 million has been withheld on behalf of employees for a future purchase under the ESPP due to the timing of payroll deductions and is included in accrued liabilities. For the three months ended March 31, 2023, there were no shares of our Class A common stock purchased under the ESPP.</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unrecognized stock-based compensation expense related to the ESPP was $0.1 million, which is expected to be recognized over a weighted-average period of 0.17 years.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in the condensed consolidated statements of operations was as follows (in thousands):</w:t>
      </w:r>
    </w:p>
    <w:tbl>
      <w:tblPr>
        <w:tblW w:w="7679" w:type="dxa"/>
        <w:jc w:val="left"/>
        <w:tblInd w:w="0" w:type="dxa"/>
        <w:tblCellMar>
          <w:top w:w="28" w:type="dxa"/>
          <w:left w:w="28" w:type="dxa"/>
          <w:bottom w:w="28" w:type="dxa"/>
          <w:right w:w="28" w:type="dxa"/>
        </w:tblCellMar>
      </w:tblPr>
      <w:tblGrid>
        <w:gridCol w:w="1735"/>
        <w:gridCol w:w="1529"/>
        <w:gridCol w:w="1535"/>
        <w:gridCol w:w="230"/>
        <w:gridCol w:w="672"/>
        <w:gridCol w:w="119"/>
        <w:gridCol w:w="119"/>
        <w:gridCol w:w="119"/>
        <w:gridCol w:w="119"/>
        <w:gridCol w:w="230"/>
        <w:gridCol w:w="672"/>
        <w:gridCol w:w="119"/>
        <w:gridCol w:w="109"/>
        <w:gridCol w:w="109"/>
        <w:gridCol w:w="109"/>
        <w:gridCol w:w="154"/>
      </w:tblGrid>
      <w:tr>
        <w:trPr/>
        <w:tc>
          <w:tcPr>
            <w:tcW w:w="1735"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tax effect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11 – Net Income (Loss) Per Share Attributable to Common Stockholders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classes of common stock, Class A and Class B. Basic and diluted earnings per share (“EPS”) attributable to common stockholders for Class A and Class B common stock were the same because they were entitled to the same liquidation and dividend rights.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(in thousands, except share and per share data):</w:t>
      </w:r>
    </w:p>
    <w:tbl>
      <w:tblPr>
        <w:tblW w:w="9322" w:type="dxa"/>
        <w:jc w:val="left"/>
        <w:tblInd w:w="0" w:type="dxa"/>
        <w:tblCellMar>
          <w:top w:w="28" w:type="dxa"/>
          <w:left w:w="28" w:type="dxa"/>
          <w:bottom w:w="28" w:type="dxa"/>
          <w:right w:w="28" w:type="dxa"/>
        </w:tblCellMar>
      </w:tblPr>
      <w:tblGrid>
        <w:gridCol w:w="2208"/>
        <w:gridCol w:w="1943"/>
        <w:gridCol w:w="1953"/>
        <w:gridCol w:w="270"/>
        <w:gridCol w:w="811"/>
        <w:gridCol w:w="115"/>
        <w:gridCol w:w="115"/>
        <w:gridCol w:w="115"/>
        <w:gridCol w:w="115"/>
        <w:gridCol w:w="275"/>
        <w:gridCol w:w="806"/>
        <w:gridCol w:w="115"/>
        <w:gridCol w:w="109"/>
        <w:gridCol w:w="109"/>
        <w:gridCol w:w="109"/>
        <w:gridCol w:w="154"/>
      </w:tblGrid>
      <w:tr>
        <w:trPr/>
        <w:tc>
          <w:tcPr>
            <w:tcW w:w="2208" w:type="dxa"/>
            <w:tcBorders/>
            <w:shd w:fill="auto" w:val="clear"/>
            <w:vAlign w:val="center"/>
          </w:tcPr>
          <w:p>
            <w:pPr>
              <w:pStyle w:val="TableContents"/>
              <w:spacing w:before="0" w:after="283"/>
              <w:rPr>
                <w:sz w:val="4"/>
                <w:szCs w:val="4"/>
              </w:rPr>
            </w:pPr>
            <w:r>
              <w:rPr>
                <w:sz w:val="4"/>
                <w:szCs w:val="4"/>
              </w:rPr>
            </w:r>
          </w:p>
        </w:tc>
        <w:tc>
          <w:tcPr>
            <w:tcW w:w="194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common stockholders – basic</w:t>
            </w:r>
          </w:p>
        </w:tc>
        <w:tc>
          <w:tcPr>
            <w:tcW w:w="27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Denominator:</w:t>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common shares outstanding – basic</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52,740,352 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51,910,572 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 attributable to common stockholders – basic:</w:t>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Numerator:</w:t>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common stockholders – diluted</w:t>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Denominator:</w:t>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 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52,740,352 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51,910,572 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4,926,804 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stock</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4,348 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stock purchase plan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46,455 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52,740,352 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56,888,179 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 attributable to common stockholders – diluted</w:t>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(0.11)</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0.08 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shares of common stock equivalents were excluded from the computation of diluted net income (loss) per share attributable to common stockholders for the periods presented because including them would have been anti-dilutive:</w:t>
      </w:r>
    </w:p>
    <w:tbl>
      <w:tblPr>
        <w:tblW w:w="10205" w:type="dxa"/>
        <w:jc w:val="left"/>
        <w:tblInd w:w="0" w:type="dxa"/>
        <w:tblCellMar>
          <w:top w:w="28" w:type="dxa"/>
          <w:left w:w="28" w:type="dxa"/>
          <w:bottom w:w="28" w:type="dxa"/>
          <w:right w:w="28" w:type="dxa"/>
        </w:tblCellMar>
      </w:tblPr>
      <w:tblGrid>
        <w:gridCol w:w="2599"/>
        <w:gridCol w:w="2258"/>
        <w:gridCol w:w="2268"/>
        <w:gridCol w:w="495"/>
        <w:gridCol w:w="252"/>
        <w:gridCol w:w="252"/>
        <w:gridCol w:w="222"/>
        <w:gridCol w:w="222"/>
        <w:gridCol w:w="222"/>
        <w:gridCol w:w="317"/>
        <w:gridCol w:w="317"/>
        <w:gridCol w:w="297"/>
        <w:gridCol w:w="109"/>
        <w:gridCol w:w="109"/>
        <w:gridCol w:w="109"/>
        <w:gridCol w:w="157"/>
      </w:tblGrid>
      <w:tr>
        <w:trPr/>
        <w:tc>
          <w:tcPr>
            <w:tcW w:w="2599" w:type="dxa"/>
            <w:tcBorders/>
            <w:shd w:fill="auto" w:val="clear"/>
            <w:vAlign w:val="center"/>
          </w:tcPr>
          <w:p>
            <w:pPr>
              <w:pStyle w:val="TableContents"/>
              <w:spacing w:before="0" w:after="283"/>
              <w:rPr>
                <w:sz w:val="4"/>
                <w:szCs w:val="4"/>
              </w:rPr>
            </w:pPr>
            <w:r>
              <w:rPr>
                <w:sz w:val="4"/>
                <w:szCs w:val="4"/>
              </w:rPr>
            </w:r>
          </w:p>
        </w:tc>
        <w:tc>
          <w:tcPr>
            <w:tcW w:w="2258"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7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1,892,052</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913,742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Unvested restricted stock units</w:t>
            </w:r>
          </w:p>
        </w:tc>
        <w:tc>
          <w:tcPr>
            <w:tcW w:w="99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2,451,338</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653,061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ESPP</w:t>
            </w:r>
          </w:p>
        </w:tc>
        <w:tc>
          <w:tcPr>
            <w:tcW w:w="99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91,661</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21,566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equivalents excluded from net income per share attributable to common stockholders – diluted</w:t>
            </w:r>
          </w:p>
        </w:tc>
        <w:tc>
          <w:tcPr>
            <w:tcW w:w="9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4,435,051</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1,588,369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Note 12 – Income Taxes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its provision (benefit) for income taxes by applying the estimated annual effective tax rate to pretax income and adjusts the provision for discrete tax items recorded in the period.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benefit of $3.4 million and provision for income taxes of $1.4 million for the three months ended March 31, 2023 and 2022, respectively. Accordingly, the Company has recorded the tax benefit for the U.S. losses incurred during the three months ended March 31, 2023.</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37% and 23% for the three months ended March 31, 2023 and 2022, respectively. The income tax benefit for the three months ended March 31, 2023 is related to an increase in nondeductible stock-based compensation, Section 162(m) limitation on the tax deductibility of officers compensation, state taxes and global intangible low-taxed income (GILTI) inclusion offset by deductions for equity awards, tax benefit from foreign-derived intangible income (FDII), foreign tax credits, federal and state research credits, and other effects created by the capitalization and amortization of research and development expenses for tax purposes.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Note 13 – Segment Information</w:t>
      </w:r>
      <w:r>
        <w:rPr>
          <w:color w:val="000000"/>
        </w:rPr>
        <w:t xml:space="preserve">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revenue by geographic area based on the publisher’s billing address (in thousands):</w:t>
      </w:r>
    </w:p>
    <w:tbl>
      <w:tblPr>
        <w:tblW w:w="4389" w:type="dxa"/>
        <w:jc w:val="left"/>
        <w:tblInd w:w="0" w:type="dxa"/>
        <w:tblCellMar>
          <w:top w:w="28" w:type="dxa"/>
          <w:left w:w="28" w:type="dxa"/>
          <w:bottom w:w="28" w:type="dxa"/>
          <w:right w:w="28" w:type="dxa"/>
        </w:tblCellMar>
      </w:tblPr>
      <w:tblGrid>
        <w:gridCol w:w="544"/>
        <w:gridCol w:w="476"/>
        <w:gridCol w:w="479"/>
        <w:gridCol w:w="211"/>
        <w:gridCol w:w="721"/>
        <w:gridCol w:w="109"/>
        <w:gridCol w:w="109"/>
        <w:gridCol w:w="109"/>
        <w:gridCol w:w="109"/>
        <w:gridCol w:w="211"/>
        <w:gridCol w:w="721"/>
        <w:gridCol w:w="109"/>
        <w:gridCol w:w="109"/>
        <w:gridCol w:w="109"/>
        <w:gridCol w:w="109"/>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long-lived assets, net, which consist primarily of property and equipment and operating lease right-of-use assets, by geographic area (in thousands):</w:t>
      </w:r>
    </w:p>
    <w:tbl>
      <w:tblPr>
        <w:tblW w:w="4006" w:type="dxa"/>
        <w:jc w:val="left"/>
        <w:tblInd w:w="0" w:type="dxa"/>
        <w:tblCellMar>
          <w:top w:w="28" w:type="dxa"/>
          <w:left w:w="28" w:type="dxa"/>
          <w:bottom w:w="28" w:type="dxa"/>
          <w:right w:w="28" w:type="dxa"/>
        </w:tblCellMar>
      </w:tblPr>
      <w:tblGrid>
        <w:gridCol w:w="544"/>
        <w:gridCol w:w="476"/>
        <w:gridCol w:w="479"/>
        <w:gridCol w:w="211"/>
        <w:gridCol w:w="721"/>
        <w:gridCol w:w="109"/>
        <w:gridCol w:w="109"/>
        <w:gridCol w:w="109"/>
        <w:gridCol w:w="109"/>
        <w:gridCol w:w="221"/>
        <w:gridCol w:w="757"/>
        <w:gridCol w:w="161"/>
      </w:tblGrid>
      <w:tr>
        <w:trPr/>
        <w:tc>
          <w:tcPr>
            <w:tcW w:w="54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14 – 401(k) Plan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$0.4 million in matching contributions to the 401(k) Plan for the each of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76" w:before="120" w:after="283"/>
        <w:ind w:left="0" w:right="0" w:firstLine="36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and our expectations concerning the advertising industry.</w:t>
      </w:r>
    </w:p>
    <w:p>
      <w:pPr>
        <w:pStyle w:val="TextBody"/>
        <w:spacing w:lineRule="auto" w:line="288" w:before="120" w:after="283"/>
        <w:ind w:left="0" w:right="0" w:firstLine="36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spacing w:lineRule="auto" w:line="288" w:before="120" w:after="283"/>
        <w:ind w:left="0" w:right="0" w:firstLine="36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pStyle w:val="TextBody"/>
        <w:spacing w:lineRule="auto" w:line="288" w:before="120" w:after="283"/>
        <w:ind w:left="0" w:right="0" w:firstLine="36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2021 included in our Annual Report on Form 10-K filed with the U.S. Securities and Exchange Commission (the “SEC”).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our platform efficiently processed approximately 516 billion ad impressions daily, each in a fraction of a second. As of March 31, 2023, we served approximately 1,700 publishers and app developers representing over 97,000 individual domains and apps worldwide on our platform across a diverse group of content verticals such as news, e-commerce, gaming, media, weather, fashion, technology, and more, including many of the leading digital companies such as Yahoo, formerly Verizon Media Group, and News Corp. We have demonstrated that we can retain and grow revenues from our publisher customers, as evidenced by our net dollar-based retention rate of 105% for the trailing twelve months ended March 31, 2023 and 140% for the trailing twelve months ended March 31, 2022.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mobile (including mobile video) and video (including OTT/CTV) combined comprised approximately 71% of our revenue. We anticipate mobile to continue increasing as a percentage of our total impressions and revenue in the future. We further expect video to constitute an increasingly important component of our business.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Macroeconomic Factors and COVID-19</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Ongoing interest rate increases, foreign currency fluctuation, persistent inflation in the U.S. and other markets globally and recent turmoil in the global banking and finance system may increase the risk of economic volatility and dislocation in the capital or credit markets in the U.S. or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COVID-19 pandemic and its variants resulted, and may continue to result, in a global slowdown of economic activity across a broad variety of goods and services, including those provided by certain of the advertisers on our platform. This situation could also potentially limit our ad buyers’ budgets or disrupt sales channels and advertising and marketing activities generally. As new variants of COVID-19 emerge and global governments take a variety of approaches to limiting its spread, these disruptive effects may continue for an unknown period of time, with varied effects across markets.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including new variants, and its impact on our publishers, ad buyers, industry, and employees, all of which are uncertain at this time and cannot be accurately predicted.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for further discussion of the risks related to the COVID-19 pandemic, inflation, rising interest rates, and foreign currency fluctuations on our business.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Business Highlights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financial highlights of our business performance:</w:t>
      </w:r>
    </w:p>
    <w:tbl>
      <w:tblPr>
        <w:tblW w:w="6430" w:type="dxa"/>
        <w:jc w:val="left"/>
        <w:tblInd w:w="0" w:type="dxa"/>
        <w:tblCellMar>
          <w:top w:w="28" w:type="dxa"/>
          <w:left w:w="28" w:type="dxa"/>
          <w:bottom w:w="28" w:type="dxa"/>
          <w:right w:w="28" w:type="dxa"/>
        </w:tblCellMar>
      </w:tblPr>
      <w:tblGrid>
        <w:gridCol w:w="1251"/>
        <w:gridCol w:w="1101"/>
        <w:gridCol w:w="1113"/>
        <w:gridCol w:w="211"/>
        <w:gridCol w:w="796"/>
        <w:gridCol w:w="109"/>
        <w:gridCol w:w="109"/>
        <w:gridCol w:w="109"/>
        <w:gridCol w:w="109"/>
        <w:gridCol w:w="211"/>
        <w:gridCol w:w="721"/>
        <w:gridCol w:w="109"/>
        <w:gridCol w:w="109"/>
        <w:gridCol w:w="109"/>
        <w:gridCol w:w="109"/>
        <w:gridCol w:w="154"/>
      </w:tblGrid>
      <w:tr>
        <w:trPr/>
        <w:tc>
          <w:tcPr>
            <w:tcW w:w="125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a definition of Adjusted EBITDA, an explanation of our management’s use of this measure, and a reconciliation of Adjusted EBITDA to net income, see “Non-GAAP Financial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growth and financial performance are dependent on many factors, including those described below.</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Growing access to valuable ad impressions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46.5 trillion and 32.6 trillion for the three months ended March 31, 2023 and 2022, respectively.</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Monetizing ad impressions for publishers and buyers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510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Identifying valuable ad impressions that we can profitably monetize at scale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Increasing revenue from publishers and advertising spend from buyers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105% for the trailing twelve months ended March 31, 2023 and 140% for the trailing twelve months ended March 31, 2022.</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Managing industry dynamics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Expanding and managing investments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Expanding internationally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Managing seasonality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(“GAAP”), including, in particular, operating income (loss), net cash provided by operating activities, and net income (loss), we believe that Adjusted EBITDA, a non-GAAP measure, is useful in evaluating our operating performance. We define Adjusted EBITDA as net income (loss) adjusted for stock-based compensation expense, depreciation and amortization, unrealized gain, loss or impairment of equity investment, interest income, acquisition-related and other expenses, and provision (benefit) for income taxes.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Adjusted EBITDA to net income (loss) for each of the periods indicated:</w:t>
      </w:r>
    </w:p>
    <w:tbl>
      <w:tblPr>
        <w:tblW w:w="6374" w:type="dxa"/>
        <w:jc w:val="left"/>
        <w:tblInd w:w="0" w:type="dxa"/>
        <w:tblCellMar>
          <w:top w:w="28" w:type="dxa"/>
          <w:left w:w="28" w:type="dxa"/>
          <w:bottom w:w="28" w:type="dxa"/>
          <w:right w:w="28" w:type="dxa"/>
        </w:tblCellMar>
      </w:tblPr>
      <w:tblGrid>
        <w:gridCol w:w="1266"/>
        <w:gridCol w:w="1109"/>
        <w:gridCol w:w="1120"/>
        <w:gridCol w:w="212"/>
        <w:gridCol w:w="697"/>
        <w:gridCol w:w="110"/>
        <w:gridCol w:w="110"/>
        <w:gridCol w:w="110"/>
        <w:gridCol w:w="110"/>
        <w:gridCol w:w="212"/>
        <w:gridCol w:w="727"/>
        <w:gridCol w:w="110"/>
        <w:gridCol w:w="109"/>
        <w:gridCol w:w="109"/>
        <w:gridCol w:w="109"/>
        <w:gridCol w:w="154"/>
      </w:tblGrid>
      <w:tr>
        <w:trPr/>
        <w:tc>
          <w:tcPr>
            <w:tcW w:w="1266"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equity investment</w:t>
            </w:r>
          </w:p>
        </w:tc>
        <w:tc>
          <w:tcPr>
            <w:tcW w:w="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Acquisition-related and other expenses </w:t>
            </w:r>
            <w:r>
              <w:rPr>
                <w:rFonts w:ascii="Times New Roman;sans-serif" w:hAnsi="Times New Roman;sans-serif"/>
                <w:b w:val="false"/>
                <w:color w:val="000000"/>
                <w:sz w:val="14"/>
              </w:rPr>
              <w:t>(1)</w:t>
            </w:r>
          </w:p>
        </w:tc>
        <w:tc>
          <w:tcPr>
            <w:tcW w:w="9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Other expenses incurred in connection with our acquisition of Martin include post-acquisition cash compensation arrangements for certain key acquired employees to be paid ratably over three years following the closing of the acquisition (subject to forfeiture upon termination). For additional information, see Note 7, “Business Combination” to our condensed consolidated financial statements included elsewhere in this Quarterly Report on Form 10-Q.</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recognition policies are discussed in more detail under “Critical Accounting Policies and Estimates.”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283"/>
        <w:ind w:left="0" w:right="0" w:firstLine="360"/>
        <w:jc w:val="both"/>
        <w:rPr/>
      </w:pP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Technology and development expenses consist of personnel costs, including salaries, bonuses, stock-based 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pStyle w:val="TextBody"/>
        <w:spacing w:lineRule="auto" w:line="288" w:before="120" w:after="283"/>
        <w:ind w:left="0" w:right="0" w:firstLine="36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consist of personnel costs, including salaries, bonuses, stock-based compensation, and employee 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pStyle w:val="TextBody"/>
        <w:spacing w:lineRule="auto" w:line="288" w:before="120" w:after="283"/>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consist of personnel costs, including salaries, bonuses, stock-based compensation, 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Total Other Income (expense), Net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interest income, unrealized gain (loss) on equity investment and other income (expense), net. Interest income is generated by investing excess cash into money market accounts and marketable securities. Unrealized gain on equity investment consists of gains on our investment in equity securities, including unrealized gains and losses from market price changes or impairment of securities we continue to hold. Other income (expense), net consists primarily of gains and losses from foreign currency exchange transactions.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consists primarily of federal, state, and foreign income taxes. Our income tax provision (benefit)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differs from the U.S. federal statutory income tax rate due to state taxes, foreign tax rate differences, research tax credits, and stock-based compensation.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results of operations data and such data as a percentage of revenue for the periods presented. The period-to-period comparison of results is not necessarily indicative of results for future periods.</w:t>
      </w:r>
    </w:p>
    <w:tbl>
      <w:tblPr>
        <w:tblW w:w="7300" w:type="dxa"/>
        <w:jc w:val="left"/>
        <w:tblInd w:w="0" w:type="dxa"/>
        <w:tblCellMar>
          <w:top w:w="28" w:type="dxa"/>
          <w:left w:w="28" w:type="dxa"/>
          <w:bottom w:w="28" w:type="dxa"/>
          <w:right w:w="28" w:type="dxa"/>
        </w:tblCellMar>
      </w:tblPr>
      <w:tblGrid>
        <w:gridCol w:w="1598"/>
        <w:gridCol w:w="1404"/>
        <w:gridCol w:w="1408"/>
        <w:gridCol w:w="211"/>
        <w:gridCol w:w="721"/>
        <w:gridCol w:w="109"/>
        <w:gridCol w:w="109"/>
        <w:gridCol w:w="109"/>
        <w:gridCol w:w="109"/>
        <w:gridCol w:w="211"/>
        <w:gridCol w:w="721"/>
        <w:gridCol w:w="109"/>
        <w:gridCol w:w="109"/>
        <w:gridCol w:w="109"/>
        <w:gridCol w:w="109"/>
        <w:gridCol w:w="154"/>
      </w:tblGrid>
      <w:tr>
        <w:trPr/>
        <w:tc>
          <w:tcPr>
            <w:tcW w:w="1598"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6"/>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6"/>
              </w:rPr>
              <w:t>(1)</w:t>
            </w:r>
            <w:r>
              <w:rPr>
                <w:rFonts w:ascii="Times New Roman;sans-serif" w:hAnsi="Times New Roman;sans-serif"/>
                <w:b w:val="false"/>
                <w:color w:val="000000"/>
                <w:sz w:val="20"/>
              </w:rPr>
              <w: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(1)Amounts include stock-based compensation expense before tax benefit as follows:</w:t>
      </w:r>
    </w:p>
    <w:tbl>
      <w:tblPr>
        <w:tblW w:w="6329" w:type="dxa"/>
        <w:jc w:val="left"/>
        <w:tblInd w:w="0" w:type="dxa"/>
        <w:tblCellMar>
          <w:top w:w="28" w:type="dxa"/>
          <w:left w:w="28" w:type="dxa"/>
          <w:bottom w:w="28" w:type="dxa"/>
          <w:right w:w="28" w:type="dxa"/>
        </w:tblCellMar>
      </w:tblPr>
      <w:tblGrid>
        <w:gridCol w:w="1247"/>
        <w:gridCol w:w="1099"/>
        <w:gridCol w:w="1103"/>
        <w:gridCol w:w="230"/>
        <w:gridCol w:w="672"/>
        <w:gridCol w:w="119"/>
        <w:gridCol w:w="119"/>
        <w:gridCol w:w="119"/>
        <w:gridCol w:w="119"/>
        <w:gridCol w:w="230"/>
        <w:gridCol w:w="672"/>
        <w:gridCol w:w="119"/>
        <w:gridCol w:w="109"/>
        <w:gridCol w:w="109"/>
        <w:gridCol w:w="109"/>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tbl>
      <w:tblPr>
        <w:tblW w:w="6024" w:type="dxa"/>
        <w:jc w:val="left"/>
        <w:tblInd w:w="0" w:type="dxa"/>
        <w:tblCellMar>
          <w:top w:w="28" w:type="dxa"/>
          <w:left w:w="28" w:type="dxa"/>
          <w:bottom w:w="28" w:type="dxa"/>
          <w:right w:w="28" w:type="dxa"/>
        </w:tblCellMar>
      </w:tblPr>
      <w:tblGrid>
        <w:gridCol w:w="1090"/>
        <w:gridCol w:w="961"/>
        <w:gridCol w:w="964"/>
        <w:gridCol w:w="233"/>
        <w:gridCol w:w="233"/>
        <w:gridCol w:w="498"/>
        <w:gridCol w:w="200"/>
        <w:gridCol w:w="200"/>
        <w:gridCol w:w="200"/>
        <w:gridCol w:w="233"/>
        <w:gridCol w:w="233"/>
        <w:gridCol w:w="498"/>
        <w:gridCol w:w="109"/>
        <w:gridCol w:w="109"/>
        <w:gridCol w:w="109"/>
        <w:gridCol w:w="154"/>
      </w:tblGrid>
      <w:tr>
        <w:trPr/>
        <w:tc>
          <w:tcPr>
            <w:tcW w:w="1090"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60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60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Revenue, Cost of Revenue and Gross Profit</w:t>
      </w:r>
    </w:p>
    <w:tbl>
      <w:tblPr>
        <w:tblW w:w="7057" w:type="dxa"/>
        <w:jc w:val="left"/>
        <w:tblInd w:w="0" w:type="dxa"/>
        <w:tblCellMar>
          <w:top w:w="28" w:type="dxa"/>
          <w:left w:w="28" w:type="dxa"/>
          <w:bottom w:w="28" w:type="dxa"/>
          <w:right w:w="28" w:type="dxa"/>
        </w:tblCellMar>
      </w:tblPr>
      <w:tblGrid>
        <w:gridCol w:w="607"/>
        <w:gridCol w:w="535"/>
        <w:gridCol w:w="537"/>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March 31, 2023 increased by $0.9 million, or 2%, compared to the three months ended March 31, 2022. The increase was primarily driven by increased impressions processed on our platform from both existing and new publishers.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served approximately 1,700 publishers and app developers worldwide on our platform, which represented over 68,000 domains and 29,000 apps in total, compared to approximately 1,490 publishers and app developers worldwide, which represented approximately 60,000 domains and 23,000 apps in total as of March 31, 2022. For purposes of our publisher count, we aggregate multiple business accounts from separate divisions, segments or subsidiaries into a single “master” publisher based on our assessment of the related nature of the group.</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revenue to continue to grow for the remainder of 2023 with omnichannel video, which is the combination of short form video and OTT/CTV, as our primary growth driver.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$5.9 million for the three months ended March 31, 2023 compared to the three months ended March 31, 2022, primarily due to a $3.2 million increase in depreciation of data center equipment and amortization of internal-use software, a $1.8 million increase in data centers costs, a $0.4 million increase in support and maintenance costs, and a $0.4 million increase in personnel costs as headcount increased. Overall, our cost of revenue per impression processed for the three months ended March 31, 2023 decreased by approximately 7% compared to the three months ended March 31, 2022.</w:t>
      </w:r>
    </w:p>
    <w:p>
      <w:pPr>
        <w:pStyle w:val="TextBody"/>
        <w:spacing w:lineRule="auto" w:line="288" w:before="120" w:after="283"/>
        <w:ind w:left="0" w:right="0" w:firstLine="3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margin of 57% for the three months ended March 31, 2023 decreased compared to 67% for the three months ended March 31, 2022, primarily due to infrastructure investments from capacity expansion and engineering projects.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revenue to be higher in 2023 compared to 2022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Technology and Development</w:t>
      </w:r>
    </w:p>
    <w:tbl>
      <w:tblPr>
        <w:tblW w:w="7593" w:type="dxa"/>
        <w:jc w:val="left"/>
        <w:tblInd w:w="0" w:type="dxa"/>
        <w:tblCellMar>
          <w:top w:w="28" w:type="dxa"/>
          <w:left w:w="28" w:type="dxa"/>
          <w:bottom w:w="28" w:type="dxa"/>
          <w:right w:w="28" w:type="dxa"/>
        </w:tblCellMar>
      </w:tblPr>
      <w:tblGrid>
        <w:gridCol w:w="930"/>
        <w:gridCol w:w="815"/>
        <w:gridCol w:w="81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186"/>
        <w:gridCol w:w="186"/>
        <w:gridCol w:w="544"/>
      </w:tblGrid>
      <w:tr>
        <w:trPr/>
        <w:tc>
          <w:tcPr>
            <w:tcW w:w="93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technology and development costs for the three months ended March 31, 2023 was primarily due to an increase of $3.2 million in personnel costs as headcount increased, and a $0.4 million increase in facilities costs, partially offset by an increase of $2.1 million related to the capitalization of internal-use software.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continue to increase in 2023 compared to 2022 in absolute dollars, primarily due to investment in technological innovation and additional headcount.</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6993" w:type="dxa"/>
        <w:jc w:val="left"/>
        <w:tblInd w:w="0" w:type="dxa"/>
        <w:tblCellMar>
          <w:top w:w="28" w:type="dxa"/>
          <w:left w:w="28" w:type="dxa"/>
          <w:bottom w:w="28" w:type="dxa"/>
          <w:right w:w="28" w:type="dxa"/>
        </w:tblCellMar>
      </w:tblPr>
      <w:tblGrid>
        <w:gridCol w:w="634"/>
        <w:gridCol w:w="558"/>
        <w:gridCol w:w="56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for the three months ended March 31, 2023 increased primarily due to a $3.3 million increase in personnel costs, a $2.4 million increase in travel expenses, and a $0.9 million increase in amortization of acquired intangible assets.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in 2023 compared to 2022 in absolute dollars primarily due to additional headcount investment and marketing programs.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548" w:type="dxa"/>
        <w:jc w:val="left"/>
        <w:tblInd w:w="0" w:type="dxa"/>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for the three months ended March 31, 2023 primarily due to a $1.6 million increase in personnel costs associated with an increase in headcount and higher stock-based compensation costs.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in 2023 compared to 2022 in absolute dollars primarily due to higher compensation.</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6510" w:type="dxa"/>
        <w:jc w:val="left"/>
        <w:tblInd w:w="0" w:type="dxa"/>
        <w:tblCellMar>
          <w:top w:w="28" w:type="dxa"/>
          <w:left w:w="28" w:type="dxa"/>
          <w:bottom w:w="28" w:type="dxa"/>
          <w:right w:w="28" w:type="dxa"/>
        </w:tblCellMar>
      </w:tblPr>
      <w:tblGrid>
        <w:gridCol w:w="494"/>
        <w:gridCol w:w="433"/>
        <w:gridCol w:w="437"/>
        <w:gridCol w:w="247"/>
        <w:gridCol w:w="721"/>
        <w:gridCol w:w="127"/>
        <w:gridCol w:w="127"/>
        <w:gridCol w:w="127"/>
        <w:gridCol w:w="127"/>
        <w:gridCol w:w="247"/>
        <w:gridCol w:w="546"/>
        <w:gridCol w:w="127"/>
        <w:gridCol w:w="109"/>
        <w:gridCol w:w="109"/>
        <w:gridCol w:w="109"/>
        <w:gridCol w:w="211"/>
        <w:gridCol w:w="616"/>
        <w:gridCol w:w="109"/>
        <w:gridCol w:w="109"/>
        <w:gridCol w:w="109"/>
        <w:gridCol w:w="109"/>
        <w:gridCol w:w="308"/>
        <w:gridCol w:w="308"/>
        <w:gridCol w:w="544"/>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for the three months ended March 31, 2023 compared to the prior year period due to the increase in interest rates.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before="120" w:after="283"/>
        <w:ind w:left="0" w:right="0" w:firstLine="360"/>
        <w:jc w:val="both"/>
        <w:rPr/>
      </w:pPr>
      <w:r>
        <w:rPr/>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532" w:type="dxa"/>
        <w:jc w:val="left"/>
        <w:tblInd w:w="0" w:type="dxa"/>
        <w:tblCellMar>
          <w:top w:w="28" w:type="dxa"/>
          <w:left w:w="28" w:type="dxa"/>
          <w:bottom w:w="28" w:type="dxa"/>
          <w:right w:w="28" w:type="dxa"/>
        </w:tblCellMar>
      </w:tblPr>
      <w:tblGrid>
        <w:gridCol w:w="863"/>
        <w:gridCol w:w="760"/>
        <w:gridCol w:w="762"/>
        <w:gridCol w:w="238"/>
        <w:gridCol w:w="611"/>
        <w:gridCol w:w="123"/>
        <w:gridCol w:w="123"/>
        <w:gridCol w:w="123"/>
        <w:gridCol w:w="123"/>
        <w:gridCol w:w="238"/>
        <w:gridCol w:w="696"/>
        <w:gridCol w:w="123"/>
        <w:gridCol w:w="109"/>
        <w:gridCol w:w="109"/>
        <w:gridCol w:w="109"/>
        <w:gridCol w:w="211"/>
        <w:gridCol w:w="691"/>
        <w:gridCol w:w="109"/>
        <w:gridCol w:w="109"/>
        <w:gridCol w:w="109"/>
        <w:gridCol w:w="109"/>
        <w:gridCol w:w="269"/>
        <w:gridCol w:w="271"/>
        <w:gridCol w:w="544"/>
      </w:tblGrid>
      <w:tr>
        <w:trPr/>
        <w:tc>
          <w:tcPr>
            <w:tcW w:w="86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decreased for the three months ended March 31, 2023 compared to the prior year period due to currency fluctuations.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tbl>
      <w:tblPr>
        <w:tblW w:w="8162" w:type="dxa"/>
        <w:jc w:val="left"/>
        <w:tblInd w:w="0" w:type="dxa"/>
        <w:tblCellMar>
          <w:top w:w="28" w:type="dxa"/>
          <w:left w:w="28" w:type="dxa"/>
          <w:bottom w:w="28" w:type="dxa"/>
          <w:right w:w="28" w:type="dxa"/>
        </w:tblCellMar>
      </w:tblPr>
      <w:tblGrid>
        <w:gridCol w:w="1091"/>
        <w:gridCol w:w="960"/>
        <w:gridCol w:w="964"/>
        <w:gridCol w:w="222"/>
        <w:gridCol w:w="729"/>
        <w:gridCol w:w="115"/>
        <w:gridCol w:w="115"/>
        <w:gridCol w:w="115"/>
        <w:gridCol w:w="115"/>
        <w:gridCol w:w="222"/>
        <w:gridCol w:w="650"/>
        <w:gridCol w:w="115"/>
        <w:gridCol w:w="109"/>
        <w:gridCol w:w="109"/>
        <w:gridCol w:w="109"/>
        <w:gridCol w:w="211"/>
        <w:gridCol w:w="691"/>
        <w:gridCol w:w="109"/>
        <w:gridCol w:w="109"/>
        <w:gridCol w:w="109"/>
        <w:gridCol w:w="109"/>
        <w:gridCol w:w="269"/>
        <w:gridCol w:w="271"/>
        <w:gridCol w:w="544"/>
      </w:tblGrid>
      <w:tr>
        <w:trPr/>
        <w:tc>
          <w:tcPr>
            <w:tcW w:w="1091"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2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effective tax rate for the three months ended March 31, 2023 of 37% and the federal statutory income tax rate of 21% was related to the effects of stock-based compensation, foreign and state taxes, partially offset by foreign tax credits, and federal and state research credits. The effective income tax rate was 23% for the three months ended March 31, 2022 primarily due to nondeductible stock-based compensation, a higher tax rate in certain foreign countries where we operate, partially offset by deductions for equity awards and for foreign-sourced revenue, changes in tax reserves, and tax benefit for federal and state research credits.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and capital expenditures primarily through utilization of cash generated from operations, as well as sales of equity securities and borrowings under our credit facilities. As of March 31, 2023, we had cash, cash equivalents, and marketable securities of $173.2 million and net working capital, consisting of current assets less current liabilities, of $192.7 million. As of March 31, 2023, we had retained earnings of $122.1 million.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uses of cash are funding our operations and other working capital requirements.</w:t>
      </w:r>
    </w:p>
    <w:p>
      <w:pPr>
        <w:pStyle w:val="TextBody"/>
        <w:spacing w:lineRule="auto" w:line="288" w:before="120" w:after="283"/>
        <w:ind w:left="0" w:right="0" w:firstLine="360"/>
        <w:jc w:val="both"/>
        <w:rPr/>
      </w:pPr>
      <w:r>
        <w:rPr>
          <w:rFonts w:ascii="Times New Roman;sans-serif" w:hAnsi="Times New Roman;sans-serif"/>
          <w:b w:val="false"/>
          <w:color w:val="000000"/>
          <w:sz w:val="20"/>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 As of March 31, 2023, our material cash requirements included the contractual commitments set forth under “Contractual Obligations and Future Cash Requirements.”</w:t>
      </w:r>
      <w:r>
        <w:rPr>
          <w:color w:val="000000"/>
        </w:rPr>
        <w:t xml:space="preserve">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the 2023 Repurchase Program. During the three months ended March 31, 2023, we repurchased 586,830 shares of Class A common stock under the 2023 Repurchase Program for an aggregate purchase price of $7.9 million. As of March 31, 2023, $67.1 million remained available for future share repurchases under the 2023 Repurchase Program. The U.S. Inflation Reduction Act of 2022 was enacted on August 16, 2022 and requires a one percent excise tax on certain share repurchases in excess of shares issued for employee compensation made after December 31, 2022. We do not expect this provision to have a material effect on our consolidated financial statements.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Senior Secured Credit Facilities Credit Agreement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we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 In connection with the entry into the Credit Agreement, our previous loan and security agreement, as amended, was terminated.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Our obligations under the Revolving Credit Facility and the letter of credit sub-facility (described in Note 9 to our condensed consolidated financial statements included elsewhere in this Quarterly Report on Form 10-Q) with SVB are secured by substantially all our assets excluding our intellectual property.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accrue interest at rates equal, at our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 The Credit Agreement contains customary events of default. Upon the occurrence and during the continuance of an event of default, the Lenders may declare the outstanding advances and all other obligations under the Credit Agreement immediately due and payable. We may use amounts borrowed under the Credit Agreement for general corporate purposes or working capital financing. We may borrow additional amounts under the Credit Agreement from time to time as opportunities and needs arise.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w:t>
      </w:r>
    </w:p>
    <w:p>
      <w:pPr>
        <w:pStyle w:val="TextBody"/>
        <w:spacing w:before="120" w:after="283"/>
        <w:ind w:left="0" w:right="0" w:firstLine="360"/>
        <w:jc w:val="both"/>
        <w:rPr/>
      </w:pPr>
      <w:r>
        <w:rPr/>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743" w:type="dxa"/>
        <w:jc w:val="left"/>
        <w:tblInd w:w="0" w:type="dxa"/>
        <w:tblCellMar>
          <w:top w:w="28" w:type="dxa"/>
          <w:left w:w="28" w:type="dxa"/>
          <w:bottom w:w="28" w:type="dxa"/>
          <w:right w:w="28" w:type="dxa"/>
        </w:tblCellMar>
      </w:tblPr>
      <w:tblGrid>
        <w:gridCol w:w="1525"/>
        <w:gridCol w:w="1343"/>
        <w:gridCol w:w="1346"/>
        <w:gridCol w:w="211"/>
        <w:gridCol w:w="796"/>
        <w:gridCol w:w="109"/>
        <w:gridCol w:w="109"/>
        <w:gridCol w:w="109"/>
        <w:gridCol w:w="109"/>
        <w:gridCol w:w="211"/>
        <w:gridCol w:w="721"/>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provided by operating activities of $12.8 million resulted primarily from adjustments for non-cash expenses of $14.6 million, including $11.4 million for depreciation and amortization and $7.1 million for stock-based compensation, lease expense of $1.5 million, a decrease in accounts receivable of $61.3 million, offset by a net loss of $5.9 million, a decrease in other non-current liabilities of $0.7 million, and a decrease in accounts payable of $55.4 million.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net cash provided by operating activities of $19.3 million resulted primarily from net income of $4.8 million, adjustments for non-cash expenses of $10.7 million, including $7.2 million for depreciation and amortization and $5.1 million for stock-based compensation, and a decrease in accounts receivable of $68.6 million, partially offset by a decrease in accounts payable of $58.6 million.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we used $18.3 million of cash in investing activities, consisting of $1.4 million in purchases of property and equipment (primarily data center infrastructure), $6.0 million of investments in capitalized internal-use software, and a net increase in investments of marketable securities of $10.8 million.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we used $27.8 million of cash in investing activities, consisting of $4.2 million of investments in capitalized internal-use software and a net increase in investments of marketable securities of $23.4 million.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in financing activities of $7.6 million was primarily due to purchases of treasury stock.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net cash provided by financing activities of $0.5 million was primarily due to proceeds from exercise of stock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Future Cash Requirements </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contractual obligations consist of non-cancelable leases for our various facilities. In certain cases, the terms of the lease agreements provide for rental payments that increase over time.</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contractual obligations disclosed in our Annual Report on Form 10-K for the fiscal year ended December 31, 2022.</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$4.9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three months ended March 31, 2023, as compared to the critical accounting policies and estimates disclosed in Management’s Discussion and Analysis of Financial Condition and Results of Operations included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These risks primarily include:</w:t>
      </w:r>
    </w:p>
    <w:p>
      <w:pPr>
        <w:pStyle w:val="TextBody"/>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$79.3 million and marketable securities of $93.9 million as of March 31, 2023, which consisted of bank deposits, money market accounts, time deposits,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March 31, 2023.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pStyle w:val="TextBody"/>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Currency Exchange Risk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$0.5 million in our operating loss for the three months ended March 31, 2023. A hypothetical 10% change in the U.S. Dollar to British Pound exchange rate could result in a change of $0.4 million in our operating loss for the three months ended March 31, 2023.</w:t>
      </w:r>
    </w:p>
    <w:p>
      <w:pPr>
        <w:pStyle w:val="TextBody"/>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March 31, 2023. Based on such evaluation, our principal executive officer and principal financial officer have concluded that, as of such date, our disclosure controls and procedures were effective at a reasonable assurance level.</w:t>
      </w:r>
    </w:p>
    <w:p>
      <w:pPr>
        <w:pStyle w:val="TextBody"/>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March 31, 2023 that has materially affected, or is reasonably likely to materially affect, our internal control over financial reporting.</w:t>
      </w:r>
    </w:p>
    <w:p>
      <w:pPr>
        <w:pStyle w:val="TextBody"/>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 and Procedures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9, “Commitments and Contingencies,” to our condensed consolidated financial statements included elsewhere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foregoing, our business is subject to a number of risks and uncertainties, including those risks discussed at length below. These risks include, among others, the following, which we consider our most material risks: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revenue and results of operations are highly dependent on the overall demand for advertising.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results of operations may fluctuate significantly and may not meet our expectations or those of securities analysts and investors.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must scale our platform infrastructure to support anticipated growth and transaction volume. If we fail to do so, we may limit our ability to process ad impressions, and we may lose revenue.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recently completed acquisition of ConsultMates, Inc. (dba “Martin”) presents risks and we must successfully integrate the Martin business to realize the strategic and financial goals that we currently anticipate.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publishers, buyers, and data providers do not obtain necessary and requisite consents from consumers for us to process their personal data, we could be subject to fines and liability.</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digital advertising industry is intensely competitive, and if we do not effectively compete against current and future competitors, our business, results of operations, and financial condition could be harmed.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pressure may reduce our revenue per impression.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 fluctuations or market changes in digital advertising activity could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ad formats and digital device types develop in ways that prevent advertisements from being delivered to consumers, our business, results of operations, and financial condition generally, will be adversely affected.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success depends on our ability to retain key members of our management team, and on our ability to hire, train, retain, and motivate new employees.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subject to payment-related risks if demand side platform (“DSP”) buyers dispute or do not pay their invoices, and any decreases in payments or in our overall take rate could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international operations subject us to additional costs and risks, and our continued international expansion may not be successful.</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depend on third-party data centers, the disruption of which could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software platform could be susceptible to errors, defects, or unintended performance problems that could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continued business success depends upon our ability to offer high-quality inventory with appropriate viewability capabilities.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are subject to constantly evolving laws, regulations and industry requirements related to data privacy, data protection, information security, and consumer protection across the markets we operate in.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maintain effective internal controls, our ability to produce accurate financial statements and other disclosures on a timely basis could be impaired.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charter documents and Delaware law could discourage takeover attempts and other corporate governance changes.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Our Business, Results of Operations and Growth</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revenue and results of operations are highly dependent on the overall demand for advertising.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More recently, macroeconomic factors including inflation, rising interest rates and softening demand in certain verticals have caused some advertisers to reduce their advertising budgets. Such macroeconomic factors, as well as broader economic downturns, recessions, inflation, further changes in interest rates or foreign exchange rates or any supply chain disruptions, changes in the tax treatment of advertising expenses, instability in the global banking system or general uncertainty, in North America, Europe, and Asia, where we do most of our business, could adversely affect our business, results of operations, and financial condition. In addition, the conflict in Ukraine could cause unpredictable economic effects in Europe, including potentially softening general consumer demand. Reductions in overall advertising spending as a result of these factors could make it difficult to predict our revenue and could adversely affect our business, results of operations, and financial condition.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three months ended March 31, 2023 and 2022, 11% and 14%, respectively, of our revenue was derived from ad impressions sold on our platform from our largest publisher, Yahoo. 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significantly and may not meet our expectations or those of securities analysts and investors.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demand and pricing for ad impressions sold on our platform;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access to valuable ad impressions from publishers;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developing, maintaining, and expanding relationships with publishers, DSPs, agencies, and advertisers;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seasonality in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innovating and developing new solutions that are adopted by and meet the needs of publishers, DSPs, agencies, and advertisers;</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competing against companies with a larger customer base or greater financial or technical resources;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structure of the buying and selling of ad impressions;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pricing policies of publishers and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responding to evolving industry standards and government regulations that impact our business, particularly in the areas of data protection and consumer privacy;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demand due to changes in the macroeconomic environment, including as a result of an economic downturn, recession, inflation, changes in interest rates or foreign exchange rates, disruptions to supply chains, instability in the global banking system or otherwise;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further expanding our business internationally;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recruiting, integrating, and retaining qualified and motivated employees, particularly engineers.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 factors above may result in significant fluctuations in our results of operations. You should not rely on our past results as an indicator of our future performance.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make the right investment decisions in our platform, or if we fail to innovate and develop new solutions that are adopted by publishers, we may not attract and retain publishers, which could adversely affect our business, results of operations, and financial condition.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must scale our platform infrastructure to support anticipated growth and transaction volume. If we fail to do so, we may limit our ability to process ad impressions, and we may lose revenue.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recently completed acquisition of ConsultMates, Inc. (dba “Martin”) presents risks and we must successfully integrate the Martin business to realize the strategic and financial goals that we currently anticipate.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we acquired Martin to further augment our SPO capabilities. We have limited experience with such acquisitions, and risks we may face in connection with the integration of the Martin business into our business and operations include:</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we may not realize the revenue or other economic benefits and synergies we expect to receive from the transaction;</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we may have difficulties integrating and managing Martin’s SPO products and technology, as well as business relationships, or retaining key personnel from Martin;</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the acquisition may not further our business strategy as we expected or we may otherwise not realize our expected return on investment, which could adversely affect our business or operating results;</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 xml:space="preserve">Martin’s existing privacy and information security systems and related infrastructure may require additional investments of time and resources in order to scale and, as necessary, to integrate into our platform or to be developed to appropriate standards;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Martin’s management and compliance functions and processes may require significant investments of time and resources in order to support its current and anticipated future product offerings, to scale and, as necessary, to integrate into our platform; and</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Our operating results or financial condition may be adversely impacted by (i) claims or liabilities (including tax liabilities) related to Martin’s business and the Martin acquisition including, among others, claims from U.S. or international regulatory or other governmental agencies, terminated employees, current or former customers or business partners, or other third parties; (ii) pre-existing contractual relationships of Martin that we would not have otherwise entered into, the termination or modification of which may be costly or disruptive to our business; (iii) unfavorable accounting treatment as a result of Martin’s practices; and (iv) intellectual property claims or disputes against Martin.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Related to Data Collection and the Use of Collected Data</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and conflicting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publishers, buyers, and data providers do not obtain necessary and requisite consents from consumers for us to process their personal data, we could be subject to fines and liability.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Related to the Advertising Industry and Competition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digital advertising industry is intensely competitive, and if we do not effectively compete against current and future competitors, our business, results of operations, and financial condition could be adversely affected.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 pressure may reduce our revenue per impression.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Seasonal fluctuations or market changes in digital advertising activity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inflation, changes in foreign exchange rates or interest rates,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ad formats and digital device types develop in ways that prevent advertisements from being delivered to consumers, our business, results of operations, and financial condition may be adversely affected.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success depends on our ability to retain key members of our management team, and on our ability to hire, train, retain, and motivate new employees.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if demand side platform (“DSP”) buyers dispute or do not pay their invoices, and any decreases in payments or in our overall take rate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may be exacerbated by the overall market and economic volatility, inflation, changes in foreign exchange rates or interest rates, disruption to supply chains, and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subject us to additional costs and risks, and our continued international expansion may not be successful.</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and costs associated with maintaining effective controls at foreign locations;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adapting our platform and solutions to non-U.S. publishers’ preferences and customs;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regulatory and other delays and difficulties in setting up foreign operations, including staffing difficulties;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anti-bribery laws and regulations, export and import control and economic sanctions, laws and regulations;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foreign data privacy laws;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and political instability in some countries, including as a result of the conflict in Ukraine;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the laws of numerous taxing jurisdictions.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difficulty hiring and retaining engineering and management resources due to intense competition for such resources and resulting wage inflation;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heightened exposure to changes in economic, health, security, and political conditions in India;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fluctuations in currency exchange rates and tax compliance in India.</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third-party data centers, the disruption of which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software platform could be susceptible to errors, defects, or unintended performance problems that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continued business success depends upon our ability to offer high-quality inventory with appropriate viewability capabilities.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in integrating the operations, technologies, product or service offerings, administrative systems, and personnel of acquired businesses;</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ineffectiveness or incompatibility of acquired technologies or solutions;</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potential loss of key employees of the acquired business;</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inability to maintain key business relationships and reputation of the acquired business;</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litigation arising from the acquisition or the activities of the acquired business;</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failure to generate the expected financial results related to an acquisition in a timely manner or at all;</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failure to accurately forecast the impact of an acquisition; and</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implementation or remediation of effective controls, procedures, and policies for acquired businesses.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our board of directors authorized and approved the 2023 Repurchase Program pursuant to which we may repurchase up to $75.0 million in aggregate of shares of our Class A common stock, with the authorization to expire on December 31, 2024. Although our board of directors has authorized the 2023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war in Ukraine and the ongoing COVID-19 pandemic. The 2023 Repurchase Program may be modified, suspended, or terminated at any time, and we cannot guarantee that the 2023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the risk of catastrophic events such as pandemics, earthquakes, flooding, fire, and power outages, and to interruption by man-made problems such as acts of war and terrorism.</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 in Ukraine,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Regulations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constantly evolving laws, regulations and industry requirements related to data privacy, data protection, information security, and consumer protection across the markets we operate in.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California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on January 1, 2023.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has encouraged “copycat” laws and in other states across the country. For example, in March 2020, Virginia passed the Consumer Data Protection Act (the “CDPA”) which took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Similar laws have also been enacted into law by Utah and Connecticut, and numerous other U.S. states in which we operate and the U.S. federal government are also considering privacy legislation.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yet fully predict the impact of such state laws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are considering or have passed legislation implementing data protection requirements or requiring local storage and processing of data or similar requirements that could increase the cost and complexity of delivering our services, including Brazil, Thailand, and Japan.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maintain, transmit and store data about consumers, employees, partners and others, including personally identifiable information, as well as other confidential information.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engage third parties that store, process and transmit these types of information on our behalf. We rely on encryption and authentication technology licensed from third parties in an effort to securely transmit confidential and sensitive information, including payment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and credential stuffing. Our security measures, and those of our third-party service providers, might not detect or prevent all attempts to breach our systems, denial-of-service attacks, viruses, malicious software, break-ins, phishing attacks, social engineering, security breaches, ransomware, credential stuffing attacks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might not anticipate or prevent all types of attacks until after they have already been launched. Further, techniques used to obtain unauthorized access to or sabotage systems change frequently and might not be known until launched against us or our third-party service providers. In addition, security breaches can also occur as a result of non-technical issues, including intentional or inadvertent breaches by our employees or by third parties. These risks may increase over time as the complexity and number of technical systems and applications we use also increases.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Breaches of our security measures or those of our third-party service providers or cyber security incidents could result in unauthorized access to our mobile applications, sites, networks and systems; unauthorized access to and misappropriation of data and customer information, including customers’ personally identifiable information, or other confidential or proprietary information of ourselves or third parties; viruses, worms, spyware or other malware being served from our mobile applications, sites, networks or systems; deletion or modification of content or the display of unauthorized content on our mobile applications or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In the future, we may experience social engineering, phishing, malware and similar attacks and threats of denial-of-service attacks and such attacks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user’s password could access the user’s transaction data or personal information, resulting in the perception that our systems are insecure.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U.S. and foreign laws and regulations require companies to provide notice of data security breaches and/or incidents involving certain types of personal data to individuals, the media, government authorities or other third parties. In addition, some of our customers contractually require notification of data security breaches. Any compromise or breach of our security measures, or those of our third-party service providers, could cause significant legal and financial exposure, adverse publicity and a loss of confidence in our security measures, which could have a material adverse effect on our business, results of operations, financial condition and prospects. There can be no assurance that any limitations of liability provisions in our contracts would be enforceable or adequate or would otherwise protect us from any such liabilities or damages with respect to any particular claim arising from a cyber incident. We also cannot be sure that our existing cyber insurance coverage, general liability insurance coverage and coverage for errors or omissions will fully cover such incident, continue to be available on acceptable terms or will be available in sufficient amounts to cover one or more large claims, or that insurers will not deny coverage as to any future claim. One or more large, successful claims against us in excess of our available insurance coverage, or changes in our insurance policies, including premium increases or large deductible or co-insurance requirements, could have an adverse effect on our business, operating results and financial condition.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uncertainty and industry unpreparedness for new regulations may mean substantial disruption and inefficiency, demand constraints, and reduced inventory supply and value.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Biden administration negotiated new privacy shield terms with EU regulators, and signed an Executive Order in October 2022 directing the steps the United States will take to implement its commitments to the EU/US data privacy framework. The new proposed Privacy Shield terms are subject to further review by the European Commission and EC and member states. Max Schrems, who brought the lawsuit which resulted in the invalidation of Privacy Shield in 2020, has indicated that he will legally challenge these newly proposed Privacy Shield terms. 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or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industry self-regulation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economic sanctions requirements and export and import controls that could impair our ability to compete in international markets or subject us to civil or criminal liability.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licenses to use the intellectual property rights of third parties to conduct our business.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controls, our ability to produce accurate financial statements and other disclosures on a timely basis could be impaired.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credit agreement contains operating and financial covenants that may restrict our business and financing activities.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we entered into a Senior Secured Credit Facilities Credit Agreement (the “Credit Agreement”) with Silicon Valley Bank (“SVB”) and the several lenders parties thereto. As of March 31, 2023, we had no outstanding borrowings under the Credit Agreement.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on March 10, 2023, SVB was closed by the California Department of Financial Protection and Innovation and subsequently appointed the Federal Deposit Insurance Corporation (“FDIC”) as receiver. Similarly, on March 12, 2023, Signature Bank and Silvergate Capital Corp. were each swept into receivership. While the FDIC has taken steps to make whole all depositors of SVB, there is no assurance that similar guarantees will be made in the event of further bank closures and continued instability in the global banking system. If other banks and financial institutions enter receivership or become insolvent in the future in response to financial conditions affecting the banking system and financial markets, then our ability to obtain financing may be threatened, which could have a material adverse effect on our business and financial condition. Moreover, events such as the closure of SVB, in addition to other global macroeconomic conditions, may cause further turbulence and uncertainty in the capital markets.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tax liabilities may be greater than anticipated.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(benefit)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Tax changes could affect our effective tax rate and future profitability.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U.S. federal, state or foreign tax laws and regulations, or their interpretation and application, including those with retroactive effect, could affect our tax expense, operating results, and/or cash flows. For example, beginning in 2022, the Tax Cuts and Jobs Act of 2017 (“Tax Act”) eliminated the option to immediately deduct research and development expenditures in the year incurred and required taxpayers to amortize such costs incurred in the U.S. over five years, and in foreign jurisdictions over fifteen years. Such tax law changes may have an adverse effect on our cash taxes and as a result, our operating results, financial condition, and/or cash flows. The issuance of additional guidance related to the Tax Act, or other actions by governments in the United States or globally could significantly increase our tax obligations and the effective tax rate in future periods.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trading price of the shares of our Class A common stock has been and may continue to be volatile and could subject us to litigation.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market price and trading volume of technology companies in general and of companies in the digital advertising industry in particular;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announcements of new solutions or technologies, commercial relationships, acquisitions, or other events by us or our competitors;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public’s reaction to our press releases, other public announcements, and filings with the SEC;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fluctuations in the trading volume of our shares or the size of our public float;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sales of large blocks of our common stock;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actual or anticipated changes or fluctuations in our results of operations or financial projections;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actual or future expectations of investors or securities analysts;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governmental or regulatory developments or actions, or litigation involving us, our industry, or both;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conditions and trends or catastrophic events in our domestic and foreign markets.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spacing w:lineRule="auto" w:line="288" w:before="120" w:after="283"/>
        <w:ind w:left="0" w:right="0" w:firstLine="360"/>
        <w:jc w:val="both"/>
        <w:rPr/>
      </w:pPr>
      <w:r>
        <w:rPr>
          <w:rFonts w:ascii="Times New Roman;sans-serif" w:hAnsi="Times New Roman;sans-serif"/>
          <w:b w:val="false"/>
          <w:color w:val="000000"/>
          <w:sz w:val="20"/>
        </w:rPr>
        <w:t>Our Class B common stock has</w:t>
      </w:r>
      <w:r>
        <w:rPr>
          <w:color w:val="000000"/>
        </w:rPr>
        <w:t> </w:t>
      </w:r>
      <w:r>
        <w:rPr>
          <w:rFonts w:ascii="Times New Roman;sans-serif" w:hAnsi="Times New Roman;sans-serif"/>
          <w:b w:val="false"/>
          <w:color w:val="000000"/>
          <w:sz w:val="20"/>
        </w:rPr>
        <w:t>ten</w:t>
      </w:r>
      <w:r>
        <w:rPr>
          <w:color w:val="000000"/>
        </w:rPr>
        <w:t> </w:t>
      </w:r>
      <w:r>
        <w:rPr>
          <w:rFonts w:ascii="Times New Roman;sans-serif" w:hAnsi="Times New Roman;sans-serif"/>
          <w:b w:val="false"/>
          <w:color w:val="000000"/>
          <w:sz w:val="20"/>
        </w:rPr>
        <w:t>votes per share, and our Class A common stock has one vote per share. Transfers of stock by holders of Class B common stock will generally result in those shares converting to Class A common stock, subject to limited exceptions. As of March 31, 2023, our directors and officers, and their respective affiliates, beneficially owned in the aggregate approximately 66%</w:t>
      </w:r>
      <w:r>
        <w:rPr>
          <w:color w:val="000000"/>
        </w:rPr>
        <w:t> </w:t>
      </w:r>
      <w:r>
        <w:rPr>
          <w:rFonts w:ascii="Times New Roman;sans-serif" w:hAnsi="Times New Roman;sans-serif"/>
          <w:b w:val="false"/>
          <w:color w:val="000000"/>
          <w:sz w:val="20"/>
        </w:rPr>
        <w:t xml:space="preserve">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Sales of substantial amounts of our Class A common stock in the public markets, or the perception that they might occur, could cause the market price of our Class A common stock to decline.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spacing w:lineRule="auto" w:line="288" w:before="120" w:after="283"/>
        <w:ind w:left="0" w:right="0" w:hanging="360"/>
        <w:jc w:val="both"/>
        <w:rPr/>
      </w:pPr>
      <w:r>
        <w:rPr>
          <w:color w:val="000000"/>
        </w:rPr>
        <w:t xml:space="preserve">• </w:t>
      </w:r>
      <w:r>
        <w:rPr>
          <w:rFonts w:ascii="Times New Roman;sans-serif" w:hAnsi="Times New Roman;sans-serif"/>
          <w:b w:val="false"/>
          <w:color w:val="000000"/>
          <w:sz w:val="20"/>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board to issue shares of preferred stock without stockholder approval, which could be used to significantly dilute the ownership of a hostile acquirer;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effective upon such time as the outstanding shares of our Class B common stock represent less than a majority of the combined voting power of our common stock;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our chief executive officer, our lead director, or a majority of our board;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board to amend the bylaws, which may allow it to take additional actions to prevent an unsolicited takeover and inhibit the ability of an acquirer;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advance notice procedures with which stockholders must comply to nominate candidates to our board or to propose matters to be acted upon at a stockholders’ meeting;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repurchases of our Class A common stock during the three months ended March 31, 2023:</w:t>
      </w:r>
    </w:p>
    <w:tbl>
      <w:tblPr>
        <w:tblW w:w="10205" w:type="dxa"/>
        <w:jc w:val="left"/>
        <w:tblInd w:w="0" w:type="dxa"/>
        <w:tblCellMar>
          <w:top w:w="28" w:type="dxa"/>
          <w:left w:w="28" w:type="dxa"/>
          <w:bottom w:w="28" w:type="dxa"/>
          <w:right w:w="28" w:type="dxa"/>
        </w:tblCellMar>
      </w:tblPr>
      <w:tblGrid>
        <w:gridCol w:w="500"/>
        <w:gridCol w:w="438"/>
        <w:gridCol w:w="445"/>
        <w:gridCol w:w="109"/>
        <w:gridCol w:w="109"/>
        <w:gridCol w:w="109"/>
        <w:gridCol w:w="595"/>
        <w:gridCol w:w="426"/>
        <w:gridCol w:w="428"/>
        <w:gridCol w:w="109"/>
        <w:gridCol w:w="109"/>
        <w:gridCol w:w="109"/>
        <w:gridCol w:w="278"/>
        <w:gridCol w:w="812"/>
        <w:gridCol w:w="143"/>
        <w:gridCol w:w="109"/>
        <w:gridCol w:w="109"/>
        <w:gridCol w:w="109"/>
        <w:gridCol w:w="812"/>
        <w:gridCol w:w="709"/>
        <w:gridCol w:w="710"/>
        <w:gridCol w:w="109"/>
        <w:gridCol w:w="109"/>
        <w:gridCol w:w="109"/>
        <w:gridCol w:w="378"/>
        <w:gridCol w:w="1938"/>
        <w:gridCol w:w="285"/>
      </w:tblGrid>
      <w:tr>
        <w:trPr/>
        <w:tc>
          <w:tcPr>
            <w:tcW w:w="50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val="false"/>
                <w:color w:val="000000"/>
                <w:sz w:val="20"/>
              </w:rPr>
              <w:t>Average Price Paid Per Share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val="false"/>
                <w:color w:val="000000"/>
                <w:sz w:val="20"/>
              </w:rPr>
              <w:t>Total Number of Shares Purchased as Part of Publicly Announced Plans or Programs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1" w:type="dxa"/>
            <w:gridSpan w:val="3"/>
            <w:tcBorders/>
            <w:shd w:fill="CCEEFF"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val="false"/>
                <w:color w:val="000000"/>
                <w:sz w:val="20"/>
              </w:rPr>
              <w:t>Approximate Dollar Value of Shares that May Yet Be Purchased Under the Plans or Programs</w:t>
            </w:r>
            <w:r>
              <w:rPr>
                <w:rFonts w:ascii="Times New Roman;sans-serif" w:hAnsi="Times New Roman;sans-serif"/>
                <w:b w:val="false"/>
                <w:color w:val="000000"/>
                <w:sz w:val="13"/>
              </w:rPr>
              <w:t>(1)</w:t>
            </w:r>
          </w:p>
        </w:tc>
      </w:tr>
      <w:tr>
        <w:trPr/>
        <w:tc>
          <w:tcPr>
            <w:tcW w:w="13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586,830 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586,830 </w:t>
            </w:r>
          </w:p>
        </w:tc>
        <w:tc>
          <w:tcPr>
            <w:tcW w:w="7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67,100,000 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586,830 </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586,830 </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(1)On February 28, 2023, we announced the authorization of a share repurchase program for the repurchase of shares of our Class A common stock in an aggregate amount of up to $75 million through December 31, 2024.</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(2)Average price paid per share includes costs associated with the repurchases.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333"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67"/>
        <w:gridCol w:w="235"/>
        <w:gridCol w:w="236"/>
        <w:gridCol w:w="109"/>
        <w:gridCol w:w="109"/>
        <w:gridCol w:w="109"/>
        <w:gridCol w:w="1706"/>
        <w:gridCol w:w="1349"/>
        <w:gridCol w:w="1353"/>
        <w:gridCol w:w="109"/>
        <w:gridCol w:w="109"/>
        <w:gridCol w:w="109"/>
        <w:gridCol w:w="170"/>
        <w:gridCol w:w="170"/>
        <w:gridCol w:w="171"/>
        <w:gridCol w:w="109"/>
        <w:gridCol w:w="109"/>
        <w:gridCol w:w="109"/>
        <w:gridCol w:w="145"/>
        <w:gridCol w:w="145"/>
        <w:gridCol w:w="146"/>
        <w:gridCol w:w="109"/>
        <w:gridCol w:w="109"/>
        <w:gridCol w:w="109"/>
        <w:gridCol w:w="210"/>
        <w:gridCol w:w="210"/>
        <w:gridCol w:w="211"/>
        <w:gridCol w:w="109"/>
        <w:gridCol w:w="109"/>
        <w:gridCol w:w="109"/>
        <w:gridCol w:w="201"/>
        <w:gridCol w:w="201"/>
        <w:gridCol w:w="202"/>
        <w:gridCol w:w="109"/>
        <w:gridCol w:w="109"/>
        <w:gridCol w:w="109"/>
        <w:gridCol w:w="266"/>
        <w:gridCol w:w="266"/>
        <w:gridCol w:w="383"/>
      </w:tblGrid>
      <w:tr>
        <w:trPr/>
        <w:tc>
          <w:tcPr>
            <w:tcW w:w="26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q1advisoragreeme.htm">
              <w:r>
                <w:rPr>
                  <w:rStyle w:val="InternetLink"/>
                  <w:rFonts w:ascii="Times New Roman;sans-serif" w:hAnsi="Times New Roman;sans-serif"/>
                  <w:b w:val="false"/>
                  <w:color w:val="0000FF"/>
                  <w:sz w:val="20"/>
                  <w:u w:val="single"/>
                </w:rPr>
                <w:t>Advisor Agreement between Jeffrey Hirsch and PubMatic, Inc. dated March 30,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q12023exhibit311.htm">
              <w:r>
                <w:rPr>
                  <w:rStyle w:val="InternetLink"/>
                  <w:rFonts w:ascii="Times New Roman;sans-serif" w:hAnsi="Times New Roman;sans-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q12023exhibit312.htm">
              <w:r>
                <w:rPr>
                  <w:rStyle w:val="InternetLink"/>
                  <w:rFonts w:ascii="Times New Roman;sans-serif" w:hAnsi="Times New Roman;sans-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q12023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q12023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lineRule="auto" w:line="288" w:before="120" w:after="283"/>
        <w:jc w:val="both"/>
        <w:rPr/>
      </w:pPr>
      <w:r>
        <w:rPr>
          <w:rFonts w:ascii="Times New Roman;sans-serif" w:hAnsi="Times New Roman;sans-serif"/>
          <w:b w:val="false"/>
          <w:color w:val="000000"/>
          <w:sz w:val="16"/>
        </w:rPr>
        <w:t>________________</w:t>
        <w:br/>
        <w:t xml:space="preserve">*      </w:t>
      </w:r>
      <w:r>
        <w:rPr>
          <w:rFonts w:ascii="Times New Roman;sans-serif" w:hAnsi="Times New Roman;sans-serif"/>
          <w:b w:val="false"/>
          <w:color w:val="000000"/>
          <w:sz w:val="18"/>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120" w:after="283"/>
        <w:rPr/>
      </w:pPr>
      <w:hyperlink w:anchor="i9d24e51db3394dafb34bd55b19574e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bl>
      <w:tblPr>
        <w:tblW w:w="3328" w:type="dxa"/>
        <w:jc w:val="right"/>
        <w:tblInd w:w="0" w:type="dxa"/>
        <w:tblCellMar>
          <w:top w:w="28" w:type="dxa"/>
          <w:left w:w="28" w:type="dxa"/>
          <w:bottom w:w="28" w:type="dxa"/>
          <w:right w:w="28" w:type="dxa"/>
        </w:tblCellMar>
      </w:tblPr>
      <w:tblGrid>
        <w:gridCol w:w="293"/>
        <w:gridCol w:w="258"/>
        <w:gridCol w:w="258"/>
        <w:gridCol w:w="731"/>
        <w:gridCol w:w="731"/>
        <w:gridCol w:w="1057"/>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332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PUBMATIC, INC.</w:t>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Pantelick</w:t>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E</w:t>
      </w:r>
      <w:r>
        <w:rPr>
          <w:rFonts w:ascii="Times New Roman;sans-serif" w:hAnsi="Times New Roman;sans-serif"/>
          <w:b/>
          <w:color w:val="000000"/>
          <w:sz w:val="18"/>
        </w:rPr>
        <w:t>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PUBMATIC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STRATEGIC ADVISOR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Agreement is between PubMatic, Inc. (“PubMatic” or the “Company”) and Jeffrey Hirsch (“the Strategic Advisor”).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1.Subject to the terms and conditions of this Agreement, PubMatic engages the Strategic Advisor as an independent contractor to perform the services set forth herein, and the Strategic Advisor hereby accepts such engagement.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Services</w:t>
      </w:r>
      <w:r>
        <w:rPr>
          <w:rFonts w:ascii="Times New Roman;sans-serif" w:hAnsi="Times New Roman;sans-serif"/>
          <w:b w:val="false"/>
          <w:color w:val="000000"/>
          <w:sz w:val="22"/>
        </w:rPr>
        <w:t xml:space="preserve">. The Strategic Advisor agrees to serve as an advisor to the PubMatic Inc. Board of Directors (“Board”). In this capacity, Strategic Advisor agrees to produce to Rajeev Goel, CEO PubMatic, in a form that is deliverable to the Board, periodic, written, confidential reports or analysis (“Board Reports”) of a type an in a cadence to be mutually determined by the parties. All Board Reports shall be deemed Work Product as that term is defined below.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Strategic Advisor’s Company contact for the provision of the services outlined above will be Rajeev Goel, CEO PubMatic. The manner and means by which the Strategic Advisor chooses to complete these services are in the Strategic Advisor’s sole discretion and control. In performing the services, the Strategic Advisor agrees to exercise the highest degree of professionalism and to utilize Strategic Advisor’s own equipment and materials unless otherwise made available by PubMatic. The Strategic Advisor shall perform the services necessary to complete the projects assigned to the Strategic Advisor in a timely and professional manner consistent with industry standards, and at a location, place and time which the Strategic Advisor deems appropriate.</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Title</w:t>
      </w:r>
      <w:r>
        <w:rPr>
          <w:rFonts w:ascii="Times New Roman;sans-serif" w:hAnsi="Times New Roman;sans-serif"/>
          <w:b w:val="false"/>
          <w:color w:val="000000"/>
          <w:sz w:val="22"/>
        </w:rPr>
        <w:t xml:space="preserve">. During the period of Strategic Advisor’s work pursuant to this Agreement (“Strategic Advisor Term”) and thereafter, Strategic Advisor may refer to himself publicly as a “Strategic Advisor” or “Advisor” to the PubMatic, Inc. Board of Directors, provided that no form or use of such reference shall cause a reasonable person to infer that Strategic Advisor remains a current “Strategic Advisor” or “Advisor” to the PubMatic, Inc. Board of Directors after the end of the Strategic Advisor Term. Strategic Advisor understands, acknowledges, and agrees that nothing in this Agreement, including the allowance to refer to himself as a “Strategic Advisor” or “Advisor” to the Board entitles him to any form of voting rights or control with respect to the Board or the governance of the Company.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In exchange for the advisory services provided under this Agreement, PubMatic agrees to pay fees to Strategic Advisor as follows: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a.Cash: $3,750 per month, payable within 30 days of receipt of a monthly invoice from Strategic Advisor. </w:t>
      </w:r>
    </w:p>
    <w:p>
      <w:pPr>
        <w:pStyle w:val="TextBody"/>
        <w:spacing w:before="0" w:after="0"/>
        <w:jc w:val="both"/>
        <w:rPr/>
      </w:pPr>
      <w:r>
        <w:rPr/>
      </w:r>
    </w:p>
    <w:p>
      <w:pPr>
        <w:pStyle w:val="TextBody"/>
        <w:spacing w:lineRule="auto" w:line="28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b.Equity: Under the Company’s 2020 Equity Incentive Plan or any successor equity plan (the “Plan”), the Company will grant Strategic Advisor within 30 days of the Effective Date (as defined below) an award of restricted stock units (“Strategic Advisor RSUs”) with an aggregate value of $116,667.00. The number of shares from this Strategic Advisor RSU Grant will be determined by dividing the above aggregate value of the Strategic Advisor RSUs by the closing price of one share of the Company’s Class A common stock on the Strategic Advisor RSUs grant date , and rounded down to the nearest number of RSUs. The Strategic Advisor RSUs will vest in equal monthly installments during the period that this Agreement is in effect with no Strategic Advisor RSU’s vesting later than the End Date (as defined below). In all cases, the RSUs will be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45490"/>
                <wp:effectExtent l="0" t="0" r="0" b="0"/>
                <wp:wrapNone/>
                <wp:docPr id="64" name="Frame64"/>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1</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1</w:t>
                            </w:r>
                          </w:p>
                        </w:tc>
                      </w:tr>
                    </w:tbl>
                    <w:p>
                      <w:pPr>
                        <w:pStyle w:val="TextBody"/>
                        <w:spacing w:before="0" w:after="0"/>
                        <w:jc w:val="both"/>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terms and conditions of the Plan, the applicable grant agreement, and applicable law.</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Termination</w:t>
      </w:r>
      <w:r>
        <w:rPr>
          <w:rFonts w:ascii="Times New Roman;sans-serif" w:hAnsi="Times New Roman;sans-serif"/>
          <w:b w:val="false"/>
          <w:color w:val="000000"/>
          <w:sz w:val="22"/>
        </w:rPr>
        <w:t>. This Agreement shall terminate on December 22, 2023 (“End Date”). PubMatic may also terminate this Agreement without notice if Contractor breaches the Agreement. Upon an early termination, Contractor shall receive a prorated cash payment for services actually rendered and a prorated portion of the Strategic Advisor RSUs, to the Company’s reasonable satisfaction, up to the termination date. This Agreement will not renew unless separately agreed to in writing by the Parties.</w:t>
      </w:r>
      <w:r>
        <w:rPr>
          <w:color w:val="000000"/>
        </w:rPr>
        <w:t xml:space="preserve"> </w:t>
      </w:r>
      <w:r>
        <w:rPr>
          <w:rFonts w:ascii="Times New Roman;sans-serif" w:hAnsi="Times New Roman;sans-serif"/>
          <w:b w:val="false"/>
          <w:color w:val="000000"/>
          <w:sz w:val="22"/>
        </w:rPr>
        <w:t xml:space="preserve">This Agreement shall not be terminated by the merger or consolidation of PubMatic into or with any other entity.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Ownership of Work Product and Inventions</w:t>
      </w:r>
      <w:r>
        <w:rPr>
          <w:rFonts w:ascii="Times New Roman;sans-serif" w:hAnsi="Times New Roman;sans-serif"/>
          <w:b w:val="false"/>
          <w:color w:val="000000"/>
          <w:sz w:val="22"/>
        </w:rPr>
        <w: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a.The Strategic Advisor agrees that all work product created by the Strategic Advisor under this Agreement, including all reports, plans, analyses, designs, presentations, writings, compilations or other materials of any kind (“Work Product”) shall be deemed “works made for hire”, and all right, title and interest (including, without limitation, copyrights, trademarks, and patent rights) in the Work Product shall be the sole and exclusive property of PubMatic. To the extent that by operation of law or otherwise, the Work Product is not deemed a work for hire, the Strategic Advisor hereby assigns to PubMatic all right, title and interest in and to any Work Product. To the extent that by operation of law or otherwise, the Work Product cannot be assigned, the Strategic Advisor (a) agrees to waive enforcement worldwide of any “artist’s rights” or “moral rights” in the Work Product that cannot be assigned, and (b) grants to PubMatic an exclusive, worldwide, irrevocable, perpetual license to use, reproduce, distribute, create derivative works of, publicly perform and publicly display the Work Product in any medium or format, whether now known or later developed. The Strategic Advisor agrees to execute, at PubMatic’s request and expense, all documents and other instruments necessary or desirable to confirm PubMatic’s rights as set forth herein, including without limitation, assignments of copyright. In the event that the Strategic Advisor does not, for any reason, execute such documents within a reasonable time of PubMatic’s request, the Strategic Advisor hereby irrevocably appoints PubMatic as the Strategic Advisor’s attorney-in-fact for the purpose of executing such documents on the Strategic Advisor’s behalf, which appointment is coupled with an interest. </w:t>
      </w:r>
    </w:p>
    <w:p>
      <w:pPr>
        <w:pStyle w:val="TextBody"/>
        <w:spacing w:lineRule="auto" w:line="28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b.The Strategic Advisor will promptly disclose to PubMatic all improvements, inventions, works of authorship, trade secrets, computer programs, designs, formulas, mask works, ideas, processes, techniques, know-how and data, whether or not patentable which are conceived, developed or learned by the Strategic Advisor, either alone or jointly with others, during the term of this Agreement in connection with providing the Services (“PubMatic Inventions”). All such PubMatic Inventions and all trade secret rights, patents, copyrights and other rights in such PubMatic Inventions shall be the sole and exclusive property of PubMatic and the Strategic Advisor hereby assigns to PubMatic any rights he/she/it may have or acquire in such PubMatic Inventions.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45490"/>
                <wp:effectExtent l="0" t="0" r="0" b="0"/>
                <wp:wrapNone/>
                <wp:docPr id="65" name="Frame65"/>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2</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2</w:t>
                            </w:r>
                          </w:p>
                        </w:tc>
                      </w:tr>
                    </w:tbl>
                    <w:p>
                      <w:pPr>
                        <w:pStyle w:val="TextBody"/>
                        <w:spacing w:before="0" w:after="0"/>
                        <w:jc w:val="both"/>
                        <w:rPr/>
                      </w:pPr>
                      <w:r>
                        <w:rPr/>
                      </w:r>
                    </w:p>
                  </w:txbxContent>
                </v:textbox>
              </v:rect>
            </w:pict>
          </mc:Fallback>
        </mc:AlternateContent>
      </w:r>
    </w:p>
    <w:p>
      <w:pPr>
        <w:pStyle w:val="TextBody"/>
        <w:spacing w:lineRule="auto" w:line="288"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Proprietary Information and Inventions</w:t>
      </w:r>
      <w:r>
        <w:rPr>
          <w:rFonts w:ascii="Times New Roman;sans-serif" w:hAnsi="Times New Roman;sans-serif"/>
          <w:b w:val="false"/>
          <w:color w:val="000000"/>
          <w:sz w:val="22"/>
        </w:rPr>
        <w:t xml:space="preserve">.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a.</w:t>
      </w:r>
      <w:r>
        <w:rPr>
          <w:color w:val="000000"/>
        </w:rPr>
        <w:t>“</w:t>
      </w:r>
      <w:r>
        <w:rPr>
          <w:rFonts w:ascii="Times New Roman;sans-serif" w:hAnsi="Times New Roman;sans-serif"/>
          <w:b w:val="false"/>
          <w:color w:val="000000"/>
          <w:sz w:val="22"/>
        </w:rPr>
        <w:t>Proprietary Information” as used in this Agreement means all software and other computer programs, copyrightable material, technical drawings, product ideas, business plans and strategies, trade secrets, concepts for resolving software development issues, data and know-how, inventions (whether patentable or not), improvements, marketing plans, customer and partner lists, and any other proprietary information of PubMatic. With respect to the Proprietary Information, the Strategic Advisor hereby agrees that all Proprietary Information shall be the sole and exclusive property of PubMatic, and PubMatic shall be the sole and exclusive owner of all patents, copyrights and other rights in connection therewith. The Strategic Advisor hereby assigns to PubMatic any rights the Strategic Advisor may have or acquire in such Proprietary Information.</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b.Attached hereto as Schedule A is a list describing all inventions, original works of authorship, developments, improvements, and trade secrets which were made by the Strategic Advisor prior to the Effective Date (collectively referred to as “Prior Inventions”), which belong to the Strategic Advisor, which relate to PubMatic’s proposed business, products or research and development, and which are not assigned to PubMatic hereunder; or, if no such list is attached or such list is left blank, the Strategic Advisor represents that there are no such Prior Inventions. If in the course of performing the services hereunder, the Strategic Advisor incorporates into a PubMatic Document, product, process or service a Prior Invention owned by the Strategic Advisor or in which the Strategic Advisor has an interest, the Strategic Advisor hereby grants to PubMatic a nonexclusive, royalty-free, fully paid-up, irrevocable, perpetual, worldwide license to make, have made, modify, use and sell such Prior Invention as part of or in connection with such PubMatic Document, product, process or service, and to practice any method related thereto.</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a.The Strategic Advisor acknowledges that during the term of this Agreement Strategic Advisor will have access to Confidential Information. As used in this Agreement, “Confidential Information” means all Proprietary Information, processes (including business and product processes), records and specifications, financial information (including revenue, accounts and procedures) and any other information owned or used by PubMatic. For the avoidance of doubt, Confidential Information shall include any confidential information of third parties in PubMatic’s possession. The Strategic Advisor agrees not to disclose, directly or indirectly, any Confidential Information to any third party or use any Confidential Information in any manner, either during the term of this Agreement or at any time thereafter, except as reasonably required in connection with the performance of the services hereunder.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b.All Confidential Information and all files, records, charts, graphs, images, documents, letters, blueprints, notes or other media that contain or embody Confidential Information, Work Product or any other information concerning the business, operations or plans of PubMatic (“PubMatic Documents”), whether prepared by the Strategic Advisor or otherwise coming into Strategic Advisor’s possession, and whether in tangible or intangible form, shall remain the sole and exclusive property of PubMatic. The Strategic Advisor shall not share with any third parties or retain any copies of the PubMatic Documents without PubMatic’s prior written permission. Upon the earlier to occur of PubMatic’s request or expiration or termination of this Agreement, the Strategic Advisor shall immediately deliver to PubMatic all such PubMatic Documents and all equipment, devices and other physical property of PubMatic in Strategic Advisor’s possession or control. The Strategic Advisor agrees not to disclose the terms of this Agreement to any person without the prior written consent of PubMatic. </w:t>
      </w:r>
    </w:p>
    <w:p>
      <w:pPr>
        <w:pStyle w:val="TextBody"/>
        <w:spacing w:before="0" w:after="0"/>
        <w:jc w:val="both"/>
        <w:rPr/>
      </w:pPr>
      <w:r>
        <w:rPr/>
      </w:r>
    </w:p>
    <w:p>
      <w:pPr>
        <w:pStyle w:val="TextBody"/>
        <w:spacing w:lineRule="auto" w:line="28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c.The Strategic Advisor further acknowledges and agrees that nothing in this Agreement limits any prior and ongoing obligations to the Company regarding PubMatic’s Confidential Information, including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45490"/>
                <wp:effectExtent l="0" t="0" r="0" b="0"/>
                <wp:wrapNone/>
                <wp:docPr id="66" name="Frame66"/>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3</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3</w:t>
                            </w:r>
                          </w:p>
                        </w:tc>
                      </w:tr>
                    </w:tbl>
                    <w:p>
                      <w:pPr>
                        <w:pStyle w:val="TextBody"/>
                        <w:spacing w:before="0" w:after="0"/>
                        <w:jc w:val="both"/>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without limitation Strategic Advisor’s ongoing obligations under the Confidential Information and Invention Assignment Agreement previously entered into by Strategic Advisor with PubMatic.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d.The Strategic Advisor further agrees that any property situated on PubMatic’s premises or owned by PubMatic is subject to inspection by PubMatic personnel at any time with or without notice.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e.Notwithstanding the foregoing nondisclosure obligations, pursuant to 18 USC Section 1833(b), the Strategic Advisor understands that he/she/it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Conflicts of Interest</w:t>
      </w:r>
      <w:r>
        <w:rPr>
          <w:rFonts w:ascii="Times New Roman;sans-serif" w:hAnsi="Times New Roman;sans-serif"/>
          <w:b w:val="false"/>
          <w:color w:val="000000"/>
          <w:sz w:val="22"/>
        </w:rPr>
        <w:t xml:space="preserve">. The Strategic Advisor represents that Strategic Advisor is free to enter into this Agreement, and that this engagement does not violate the terms of any agreement between the Strategic Advisor and any third party. Further, the Strategic Advisor, in rendering the services under this Agreement, shall not use any invention, discovery, development, improvement, innovation, or trade secret in which the Strategic Advisor does not have a proprietary interest. The Strategic Advisor is expressly free to perform services for other parties while performing services for PubMatic unless such services to other entities would result in an actual or apparent conflict of interest with PubMatic as determined in accordance with PubMatic’s reasonable discretion, or the use of PubMatic Confidential Information or trade secrets.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Non-Solicitation</w:t>
      </w:r>
      <w:r>
        <w:rPr>
          <w:rFonts w:ascii="Times New Roman;sans-serif" w:hAnsi="Times New Roman;sans-serif"/>
          <w:b w:val="false"/>
          <w:color w:val="000000"/>
          <w:sz w:val="22"/>
        </w:rPr>
        <w:t>. During the term of this Agreement and for a period of six months thereafter, the Strategic Advisor shall not, directly or indirectly, solicit or induce any employee, consultant, or contractor of PubMatic to terminate or breach an employment, contractual or other relationship with PubMatic.</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The Strategic Advisor represents and warrants that: (a) Strategic Advisor has the right and unrestricted ability to assign all Work Product and PubMatic Inventions to PubMatic as set forth in this Agreement, (b) none of the Work Product or PubMatic Inventions will infringe upon any copyright, patent, trademark, right of publicity or privacy, or any other proprietary right of any person or entity, whether contractual, statutory or common law, (c) neither the Work Product, the PubMatic Inventions nor any element thereof will be subject to any restrictions, and (d) Strategic Advisor will not grant, directly or indirectly, any rights or interest whatsoever in the Work Product and PubMatic Inventions to any third parties.</w:t>
      </w:r>
    </w:p>
    <w:p>
      <w:pPr>
        <w:pStyle w:val="TextBody"/>
        <w:spacing w:before="0" w:after="0"/>
        <w:jc w:val="both"/>
        <w:rPr/>
      </w:pPr>
      <w:r>
        <w:rPr/>
      </w:r>
    </w:p>
    <w:p>
      <w:pPr>
        <w:pStyle w:val="TextBody"/>
        <w:spacing w:lineRule="auto" w:line="288"/>
        <w:ind w:left="0" w:right="0" w:hanging="36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Independent Contractor Relationship</w:t>
      </w:r>
      <w:r>
        <w:rPr>
          <w:rFonts w:ascii="Times New Roman;sans-serif" w:hAnsi="Times New Roman;sans-serif"/>
          <w:b w:val="false"/>
          <w:color w:val="000000"/>
          <w:sz w:val="22"/>
        </w:rPr>
        <w:t xml:space="preserve">. This Agreement shall not render the Strategic Advisor an employee, partner, agent of PubMatic for any purpose and shall not create a joint employer or joint venture arrangement. The Strategic Advisor is and will remain an independent contractor in connection with Strategic Advisor’s relationship with PubMatic. PubMatic shall not be responsible for withholding taxes with respect to the Strategic Advisor’s fees hereunder. The Strategic Advisor shall have no claim against PubMatic hereunder or otherwise for vacation pay, sick leave, retirement benefits, social security, worker’s compensation, health or disability benefits, unemployment insurance benefits, or employee benefits of any kind. As between PubMatic and Strategic Advisor, Strategic Advisor agrees to accept exclusive liability for complying with all applicable state and federal laws governing self-employed individuals, including obligations such as payment of taxes, social security, disability and other contributions based on fees paid to Strategic Advisor. The Strategic Advisor agrees to defend, indemnify and hold PubMatic harmless from any and all such taxes, contributions or withholdings (including penalties and interest that PubMatic may have to pay as a result of this Agreement) and any claims made by any third party on account of an alleged failure by the Strategic Advisor to satisfy any such tax, contribution or withholding obligation. The Strategic Advisor will have no authority to act on or enter into any contract or understanding, incur any liability or make any representation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45490"/>
                <wp:effectExtent l="0" t="0" r="0" b="0"/>
                <wp:wrapNone/>
                <wp:docPr id="67" name="Frame67"/>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4</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4</w:t>
                            </w:r>
                          </w:p>
                        </w:tc>
                      </w:tr>
                    </w:tbl>
                    <w:p>
                      <w:pPr>
                        <w:pStyle w:val="TextBody"/>
                        <w:spacing w:before="0" w:after="0"/>
                        <w:jc w:val="both"/>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behalf of PubMatic without first obtaining specific written instructions from an authorized officer of PubMatic.</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Strategic Advisor Employees</w:t>
      </w:r>
      <w:r>
        <w:rPr>
          <w:rFonts w:ascii="Times New Roman;sans-serif" w:hAnsi="Times New Roman;sans-serif"/>
          <w:b w:val="false"/>
          <w:color w:val="000000"/>
          <w:sz w:val="22"/>
        </w:rPr>
        <w:t>. Should the Strategic Advisor, in his/her/its sole discretion, deem it necessary to employ assistants to aid in the performance of the Services and such use of assistants is approved in advance in writing by PubMatic, PubMatic will not direct, supervise, or control in any way such assistants in their performance of services. The assistants are employed solely by the Strategic Advisor, and the Strategic Advisor alone is responsible for providing workers’ compensation and unemployment insurance for such employees, for paying the salaries and wages of such employees, and for ensuring that all required tax withholdings are made. The Strategic Advisor will maintain workers’ compensation insurance coverage for such employees.</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xml:space="preserve">. The Strategic Advisor will indemnify and hold PubMatic harmless from, and will defend PubMatic against, any and all losses, liabilities, damages, claims, demands, or suits and related costs and expenses that arise, directly or indirectly, from Strategic Advior’s acts or omissions, or from the breach of any term or condition of this Agreement attributable to the Strategic Advisor or his/her/its agents. From the date of written notice from PubMatic to Strategic Advisor of any such loss, PubMatic shall have the right to withhold any payments due Strategic Advisor under this Agreement for the amount of any loss, defense costs, plus additional reasonable amounts as security for Strategic Advisor’s obligations under this section.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Compliance with Laws (Anti-corruption Acts)</w:t>
      </w:r>
      <w:r>
        <w:rPr>
          <w:rFonts w:ascii="Times New Roman;sans-serif" w:hAnsi="Times New Roman;sans-serif"/>
          <w:b w:val="false"/>
          <w:color w:val="000000"/>
          <w:sz w:val="22"/>
        </w:rPr>
        <w:t>. Strategic Advisor will at all times comply with all applicable laws, statutes, ordinances, rules, regulations, orders, and other legal requirements regardless of whether having taken effect on or after the Effective Date, including but not limited to the U.S. Foreign Corrupt Practices Act (“FCPA”), the U.K. Anti-Bribery Act, and the anti-corruption laws of any other applicable jurisdiction (together referred to as the “Anti-corruption Acts”). Strategic Advisor represents, warrants, and covenants that Strategic Advisor will not offer nor authorize the offer of any payment, gift, promise, or anything of value, for the purpose of influencing any act or decision of an official of any government (as defined by the FCPA to include officers of state-owned enterprises and seconded government officials). Strategic Advisor further represents, warrants, and covenants that Strategic Advisor will not offer nor authorize the offer of any payment, gift, promise, or anything of value, to any person or company for the purpose of obtaining, retaining, or directing any business. Strategic Advisor shall not make or permit to be made any facilitation payment, unless absolutely necessary to protect against loss of life, limb or liberty.</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Gifts or Hospitality</w:t>
      </w:r>
      <w:r>
        <w:rPr>
          <w:rFonts w:ascii="Times New Roman;sans-serif" w:hAnsi="Times New Roman;sans-serif"/>
          <w:b w:val="false"/>
          <w:color w:val="000000"/>
          <w:sz w:val="22"/>
        </w:rPr>
        <w:t xml:space="preserve">. Subject to compliance with the Anti-Corruption Acts as stated above, Strategic Advisor shall exercise prudent business judgment in deciding whether to offer or accept any gift or hospitality, including having a valid business purpose for it. Such gifts or hospitality shall be promotional in nature and shall not be offered or accepted in connection with any specific business opportunity, contract or quotation. Any gift of a value or expense greater than $200 requires approval from the General Counsel of PubMatic, Inc. </w:t>
      </w:r>
    </w:p>
    <w:p>
      <w:pPr>
        <w:pStyle w:val="TextBody"/>
        <w:spacing w:before="0" w:after="0"/>
        <w:jc w:val="both"/>
        <w:rPr/>
      </w:pPr>
      <w:r>
        <w:rPr/>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Miscellaneous</w:t>
      </w:r>
    </w:p>
    <w:p>
      <w:pPr>
        <w:pStyle w:val="TextBody"/>
        <w:spacing w:before="0" w:after="0"/>
        <w:jc w:val="both"/>
        <w:rPr/>
      </w:pPr>
      <w:r>
        <w:rPr/>
      </w:r>
    </w:p>
    <w:p>
      <w:pPr>
        <w:pStyle w:val="TextBody"/>
        <w:spacing w:lineRule="auto" w:line="288"/>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Right to Injunction</w:t>
      </w:r>
      <w:r>
        <w:rPr>
          <w:rFonts w:ascii="Times New Roman;sans-serif" w:hAnsi="Times New Roman;sans-serif"/>
          <w:b w:val="false"/>
          <w:color w:val="000000"/>
          <w:sz w:val="22"/>
        </w:rPr>
        <w:t xml:space="preserve">. The parties hereto acknowledge that the services to be rendered by the Strategic Advisor under this Agreement and the rights and privileges granted to PubMatic under the Agreement are of a special, unique, unusual, and extraordinary character which gives them a peculiar value, the loss of which cannot be reasonably or adequately compensated by damages in any action at law, and the breach by the Strategic Advisor of any of the provisions of this Agreement will cause PubMatic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45490"/>
                <wp:effectExtent l="0" t="0" r="0" b="0"/>
                <wp:wrapNone/>
                <wp:docPr id="68" name="Frame68"/>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5</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5</w:t>
                            </w:r>
                          </w:p>
                        </w:tc>
                      </w:tr>
                    </w:tbl>
                    <w:p>
                      <w:pPr>
                        <w:pStyle w:val="TextBody"/>
                        <w:spacing w:before="0" w:after="0"/>
                        <w:jc w:val="both"/>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irreparable injury and damage. The Strategic Advisor expressly agrees that PubMatic shall be entitled to injunctive and other equitable relief in the event of, or to prevent, a breach of any provision of this Agreement by the Strategic Advisor. Resort to such equitable relief, however, shall not be construed to be a waiver of any other rights or remedies that PubMatic may have for damages or otherwise. The various rights and remedies of PubMatic under this Agreement or otherwise shall be construed to be cumulative, and no one of them shall be exclusive of any other or of any right or remedy allowed by law.</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Assignment; Successors and Assigns</w:t>
      </w:r>
      <w:r>
        <w:rPr>
          <w:rFonts w:ascii="Times New Roman;sans-serif" w:hAnsi="Times New Roman;sans-serif"/>
          <w:b w:val="false"/>
          <w:color w:val="000000"/>
          <w:sz w:val="22"/>
        </w:rPr>
        <w:t>. The Strategic Advisor shall not assign any rights under this Agreement, or delegate the performance of any of Strategic Advisor’s duties hereunder, without the prior written consent of PubMatic. All of the provisions of this Agreement shall be binding upon and inure to the benefit of the parties hereto and their respective heirs, if any, successors, and assigns.</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Choice of Law</w:t>
      </w:r>
      <w:r>
        <w:rPr>
          <w:rFonts w:ascii="Times New Roman;sans-serif" w:hAnsi="Times New Roman;sans-serif"/>
          <w:b w:val="false"/>
          <w:color w:val="000000"/>
          <w:sz w:val="22"/>
        </w:rPr>
        <w:t>. The laws of the state of New York shall govern this Agreement in all respects.</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xml:space="preserve">. Any controversies or claims arising out of or relating to this Agreement, its enforcement or interpretation, or because of an alleged breach, default or misrepresentation in connection with this Agreement, shall be settled by arbitration administered by the American Arbitration Association in accordance with the Commercial Arbitration Rules, and the judgment upon the award rendered by the arbitrator(s) may be entered in any court having jurisdiction thereof.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Amendment or Waiver</w:t>
      </w:r>
      <w:r>
        <w:rPr>
          <w:rFonts w:ascii="Times New Roman;sans-serif" w:hAnsi="Times New Roman;sans-serif"/>
          <w:b w:val="false"/>
          <w:color w:val="000000"/>
          <w:sz w:val="22"/>
        </w:rPr>
        <w:t>. No amendment, change or modification of this Agreement or any waiver of any rights under this Agreement shall be valid unless in writing signed by the parties hereto. Waiver by one party hereto of breach of any provision of this Agreement by the other shall not operate or be construed as a continuing waiver.</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Any and all notices, demands, or other communications required or desired to be given hereunder by any party shall be in writing and shall be validly given or made to another party if personally served, or if deposited in the United States mail, certified or registered, postage prepaid, return receipt requested, or if sent via email transmission. If such notice or demand is served personally, notice shall be deemed constructively made at the time of such personal service. If such notice, demand or other communication is given by mail, such notice shall be conclusively deemed given five days after deposit thereof in the United States mail addressed to the party to whom such notice, demand or other communication is to be given as set forth below. If such notice, demand or other communication is given via email transmission, such notice shall be conclusively deemed given upon acknowledgement of receipt of transmission.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to the Strategic Advisor:     Jeffrey Hirsch</w: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88" w:before="0" w:after="0"/>
        <w:ind w:left="0" w:right="0" w:hanging="2160"/>
        <w:rPr>
          <w:rFonts w:ascii="Times New Roman;sans-serif" w:hAnsi="Times New Roman;sans-serif"/>
          <w:b w:val="false"/>
          <w:color w:val="000000"/>
          <w:sz w:val="22"/>
        </w:rPr>
      </w:pPr>
      <w:r>
        <w:rPr>
          <w:rFonts w:ascii="Times New Roman;sans-serif" w:hAnsi="Times New Roman;sans-serif"/>
          <w:b w:val="false"/>
          <w:color w:val="000000"/>
          <w:sz w:val="22"/>
        </w:rPr>
        <w:t xml:space="preserve">If to the Company:     Rajeev Goel – CEO, PubMatic, Inc. ********** </w:t>
      </w:r>
    </w:p>
    <w:p>
      <w:pPr>
        <w:pStyle w:val="TextBody"/>
        <w:spacing w:before="0" w:after="0"/>
        <w:ind w:left="0" w:right="0" w:hanging="2160"/>
        <w:rPr/>
      </w:pPr>
      <w:r>
        <w:rPr/>
      </w:r>
    </w:p>
    <w:p>
      <w:pPr>
        <w:pStyle w:val="TextBody"/>
        <w:spacing w:lineRule="auto" w:line="288" w:before="0" w:after="0"/>
        <w:ind w:left="0" w:right="0" w:hanging="2160"/>
        <w:rPr>
          <w:rFonts w:ascii="Times New Roman;sans-serif" w:hAnsi="Times New Roman;sans-serif"/>
          <w:b w:val="false"/>
          <w:color w:val="000000"/>
          <w:sz w:val="22"/>
        </w:rPr>
      </w:pPr>
      <w:r>
        <w:rPr>
          <w:rFonts w:ascii="Times New Roman;sans-serif" w:hAnsi="Times New Roman;sans-serif"/>
          <w:b w:val="false"/>
          <w:color w:val="000000"/>
          <w:sz w:val="22"/>
        </w:rPr>
        <w:t>With a copy to:     Andrew Woods – General Counsel, PubMatic, Inc.</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Any party hereto may change its address for purposes of this paragraph by written notice given in the manner provided above.</w:t>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45490"/>
                <wp:effectExtent l="0" t="0" r="0" b="0"/>
                <wp:wrapNone/>
                <wp:docPr id="69" name="Frame69"/>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6</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6</w:t>
                            </w:r>
                          </w:p>
                        </w:tc>
                      </w:tr>
                    </w:tbl>
                    <w:p>
                      <w:pPr>
                        <w:pStyle w:val="TextBody"/>
                        <w:spacing w:before="0" w:after="0"/>
                        <w:jc w:val="both"/>
                        <w:rPr/>
                      </w:pPr>
                      <w:r>
                        <w:rPr/>
                      </w:r>
                    </w:p>
                  </w:txbxContent>
                </v:textbox>
              </v:rect>
            </w:pict>
          </mc:Fallback>
        </mc:AlternateContent>
      </w:r>
    </w:p>
    <w:p>
      <w:pPr>
        <w:pStyle w:val="TextBody"/>
        <w:spacing w:lineRule="auto" w:line="288"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provision of this Agreement, or any portion thereof, is held to be invalid and unenforceable, then the remainder of this Agreement shall nevertheless remain in full force and effect.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The rights and obligations contained in Sections 3 (Title), 6 (Ownership of Work Product and Inventions), 7 (Proprietary Information and Inventions.), 8 (Confidentiality.), 10 (Non-Solicitation), 11 (Representations and Warranties), 12 (Independent Strategic Advisor Relationship), 14 (Indemnification), and 17 (Miscellaneous) will survive any termination or expiration of this Agreement unless a shorter survival period is set forth therein.</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constitutes the entire agreement between the parties relating to the subject matter hereof and supersedes all prior or contemporaneous oral or written agreements or communications concerning such subject matter. The terms of this Agreement shall govern all projects undertaken by the Strategic Advisor. In the event of any conflict between this Agreement and any exhibit or change order, the applicable exhibit or change order shall control, but solely with respect to the services set forth therein.</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Section headings are not to be considered a part of this Agreement and are not intended to be a full and accurate description of the contents hereof.</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counterparts, each of which shall be deemed to be an original, but all of which, taken together, shall constitute one and the same agreement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Review and Revocation.</w:t>
      </w:r>
      <w:r>
        <w:rPr>
          <w:color w:val="000000"/>
        </w:rPr>
        <w:t xml:space="preserve"> </w:t>
      </w:r>
      <w:r>
        <w:rPr>
          <w:rFonts w:ascii="Times New Roman;sans-serif" w:hAnsi="Times New Roman;sans-serif"/>
          <w:b w:val="false"/>
          <w:color w:val="000000"/>
          <w:sz w:val="22"/>
        </w:rPr>
        <w:t xml:space="preserve">Strategic Advisor may take up to 21 days (or until April 19, 2023) to consider the terms of this Agreement before signing, after which the offer to enter into this Agreement shall be rescinded. Strategic Advisor shall also have up to seven days following the date that Strategic Advisor executes this Agreement to revoke it through written notice of revocation (“Revocation Period”). Such notice must be sent by email to Andrew Woods, General Counsel for PubMatic, Inc. (“PubMatic Counsel”) at andrew.woods@pubmatic.com, no later than the seventh day after Strategic Advisor signs this Agreement.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xml:space="preserve">. This Agreement will not go into effect, and the Strategic Advisor Term will not commence, unless and until the date on which all of the following events have occurred (“Effective Date”): </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a.Strategic Advisor executes this Agreement and returns same to PubMatic;</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b.The Revocation Period for this Agreement expires without Strategic Advisor revoking the Agreement. </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c.Strategic Advisor executes a separate waiver and release of all claims arising from his employment relationship with PubMatic and the termination of same, in a form provided by PubMatic (“Severance Agreement”) and in accordance with the terms of the January 29, 2021 Retention Agreement entered into between Strategic Advisor and PubMatic; and </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d.The Severance Agreement goes into effect under the terms of the Severance Agreement. </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REMAINDER OF THIS PAGE HAS BEEN LEFT BLANK INTENTIONALLY]</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45490"/>
                <wp:effectExtent l="0" t="0" r="0" b="0"/>
                <wp:wrapNone/>
                <wp:docPr id="70" name="Frame70"/>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7</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7</w:t>
                            </w:r>
                          </w:p>
                        </w:tc>
                      </w:tr>
                    </w:tbl>
                    <w:p>
                      <w:pPr>
                        <w:pStyle w:val="TextBody"/>
                        <w:spacing w:before="0" w:after="0"/>
                        <w:jc w:val="both"/>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the undersigned have agreed to the terms of this Agreement.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PubMatic, Inc.</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_</w:t>
      </w:r>
      <w:r>
        <w:rPr>
          <w:rFonts w:ascii="Times New Roman;sans-serif" w:hAnsi="Times New Roman;sans-serif"/>
          <w:b w:val="false"/>
          <w:color w:val="000000"/>
          <w:sz w:val="22"/>
          <w:u w:val="single"/>
        </w:rPr>
        <w:t>/s/ Rajeev Goel</w:t>
      </w:r>
      <w:r>
        <w:rPr>
          <w:rFonts w:ascii="Times New Roman;sans-serif" w:hAnsi="Times New Roman;sans-serif"/>
          <w:b w:val="false"/>
          <w:color w:val="000000"/>
          <w:sz w:val="22"/>
        </w:rPr>
        <w:t>_________        Date: _</w:t>
      </w:r>
      <w:r>
        <w:rPr>
          <w:rFonts w:ascii="Times New Roman;sans-serif" w:hAnsi="Times New Roman;sans-serif"/>
          <w:b w:val="false"/>
          <w:color w:val="000000"/>
          <w:sz w:val="22"/>
          <w:u w:val="single"/>
        </w:rPr>
        <w:t>March 29, 2023</w:t>
      </w:r>
      <w:r>
        <w:rPr>
          <w:rFonts w:ascii="Times New Roman;sans-serif" w:hAnsi="Times New Roman;sans-serif"/>
          <w:b w:val="false"/>
          <w:color w:val="000000"/>
          <w:sz w:val="22"/>
        </w:rPr>
        <w:t>____</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Rajeev Goel</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Co-Founder &amp; CEO, PubMatic</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2"/>
        </w:rPr>
        <w:t>_</w:t>
      </w:r>
      <w:r>
        <w:rPr>
          <w:rFonts w:ascii="Times New Roman;sans-serif" w:hAnsi="Times New Roman;sans-serif"/>
          <w:b w:val="false"/>
          <w:color w:val="000000"/>
          <w:sz w:val="22"/>
          <w:u w:val="single"/>
        </w:rPr>
        <w:t>/s/ Jeffrey Hirsch</w:t>
      </w:r>
      <w:r>
        <w:rPr>
          <w:rFonts w:ascii="Times New Roman;sans-serif" w:hAnsi="Times New Roman;sans-serif"/>
          <w:b w:val="false"/>
          <w:color w:val="000000"/>
          <w:sz w:val="22"/>
        </w:rPr>
        <w:t>________         Date: _</w:t>
      </w:r>
      <w:r>
        <w:rPr>
          <w:rFonts w:ascii="Times New Roman;sans-serif" w:hAnsi="Times New Roman;sans-serif"/>
          <w:b w:val="false"/>
          <w:color w:val="000000"/>
          <w:sz w:val="22"/>
          <w:u w:val="single"/>
        </w:rPr>
        <w:t>March 30, 2023</w:t>
      </w:r>
      <w:r>
        <w:rPr>
          <w:rFonts w:ascii="Times New Roman;sans-serif" w:hAnsi="Times New Roman;sans-serif"/>
          <w:b w:val="false"/>
          <w:color w:val="000000"/>
          <w:sz w:val="22"/>
        </w:rPr>
        <w:t>____</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Jeffrey Hirsch</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REMAINDER OF THIS PAGE HAS BEEN LEFT BLANK INTENTIONALLY]</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45490"/>
                <wp:effectExtent l="0" t="0" r="0" b="0"/>
                <wp:wrapNone/>
                <wp:docPr id="71" name="Frame71"/>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8</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481.35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8</w:t>
                            </w:r>
                          </w:p>
                        </w:tc>
                      </w:tr>
                    </w:tbl>
                    <w:p>
                      <w:pPr>
                        <w:pStyle w:val="TextBody"/>
                        <w:spacing w:before="0" w:after="0"/>
                        <w:jc w:val="both"/>
                        <w:rPr/>
                      </w:pPr>
                      <w:r>
                        <w:rPr/>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SCHEDULE A</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List of Prior Inventions and Original Works of Authorship</w:t>
      </w:r>
    </w:p>
    <w:tbl>
      <w:tblPr>
        <w:tblW w:w="5011" w:type="dxa"/>
        <w:jc w:val="left"/>
        <w:tblInd w:w="0" w:type="dxa"/>
        <w:tblCellMar>
          <w:top w:w="28" w:type="dxa"/>
          <w:left w:w="28" w:type="dxa"/>
          <w:bottom w:w="28" w:type="dxa"/>
          <w:right w:w="28" w:type="dxa"/>
        </w:tblCellMar>
      </w:tblPr>
      <w:tblGrid>
        <w:gridCol w:w="196"/>
        <w:gridCol w:w="172"/>
        <w:gridCol w:w="173"/>
        <w:gridCol w:w="180"/>
        <w:gridCol w:w="180"/>
        <w:gridCol w:w="181"/>
        <w:gridCol w:w="1149"/>
        <w:gridCol w:w="1149"/>
        <w:gridCol w:w="1631"/>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54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39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Identifying Number or Brief Description</w:t>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283"/>
              <w:rPr>
                <w:sz w:val="4"/>
                <w:szCs w:val="4"/>
              </w:rPr>
            </w:pPr>
            <w:r>
              <w:rPr>
                <w:sz w:val="4"/>
                <w:szCs w:val="4"/>
              </w:rPr>
            </w:r>
          </w:p>
        </w:tc>
        <w:tc>
          <w:tcPr>
            <w:tcW w:w="3929"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2"/>
        </w:rPr>
        <w:t>No inventions or improvements</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2"/>
        </w:rPr>
        <w:t>Additional Sheets Attached</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______________________     Date: __________________</w:t>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Jeffrey Hirsch</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45490"/>
                <wp:effectExtent l="0" t="0" r="0" b="0"/>
                <wp:wrapNone/>
                <wp:docPr id="72" name="Frame72"/>
                <a:graphic xmlns:a="http://schemas.openxmlformats.org/drawingml/2006/main">
                  <a:graphicData uri="http://schemas.microsoft.com/office/word/2010/wordprocessingShape">
                    <wps:wsp>
                      <wps:cNvSpPr txBox="1"/>
                      <wps:spPr>
                        <a:xfrm>
                          <a:off x="0" y="0"/>
                          <a:ext cx="6480175" cy="745490"/>
                        </a:xfrm>
                        <a:prstGeom prst="rect"/>
                      </wps:spPr>
                      <wps:txb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9</w:t>
                                  </w:r>
                                </w:p>
                              </w:tc>
                            </w:tr>
                          </w:tbl>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3284" w:type="dxa"/>
                        <w:jc w:val="left"/>
                        <w:tblInd w:w="0" w:type="dxa"/>
                        <w:tblCellMar>
                          <w:top w:w="28" w:type="dxa"/>
                          <w:left w:w="28" w:type="dxa"/>
                          <w:bottom w:w="28" w:type="dxa"/>
                          <w:right w:w="28" w:type="dxa"/>
                        </w:tblCellMar>
                      </w:tblPr>
                      <w:tblGrid>
                        <w:gridCol w:w="912"/>
                        <w:gridCol w:w="801"/>
                        <w:gridCol w:w="806"/>
                        <w:gridCol w:w="224"/>
                        <w:gridCol w:w="224"/>
                        <w:gridCol w:w="317"/>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PubMatic, Inc.| Confidential</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Page 9</w:t>
                            </w:r>
                          </w:p>
                        </w:tc>
                      </w:tr>
                    </w:tbl>
                    <w:p>
                      <w:pPr>
                        <w:pStyle w:val="TextBody"/>
                        <w:spacing w:before="0" w:after="0"/>
                        <w:jc w:val="both"/>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2"/>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Rajeev K. Goel, certify that:</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2"/>
        <w:jc w:val="both"/>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2"/>
        <w:rPr/>
      </w:pPr>
      <w:r>
        <w:rPr/>
      </w:r>
    </w:p>
    <w:tbl>
      <w:tblPr>
        <w:tblW w:w="4244" w:type="dxa"/>
        <w:jc w:val="left"/>
        <w:tblInd w:w="0" w:type="dxa"/>
        <w:tblCellMar>
          <w:top w:w="28" w:type="dxa"/>
          <w:left w:w="28" w:type="dxa"/>
          <w:bottom w:w="28" w:type="dxa"/>
          <w:right w:w="28" w:type="dxa"/>
        </w:tblCellMar>
      </w:tblPr>
      <w:tblGrid>
        <w:gridCol w:w="629"/>
        <w:gridCol w:w="553"/>
        <w:gridCol w:w="558"/>
        <w:gridCol w:w="731"/>
        <w:gridCol w:w="731"/>
        <w:gridCol w:w="1042"/>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2"/>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certify that: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
        <w:jc w:val="both"/>
        <w:rPr/>
      </w:pPr>
      <w:r>
        <w:rPr/>
      </w:r>
    </w:p>
    <w:p>
      <w:pPr>
        <w:pStyle w:val="TextBody"/>
        <w:spacing w:lineRule="auto" w:line="300" w:before="0" w:after="2"/>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2"/>
        <w:rPr/>
      </w:pPr>
      <w:r>
        <w:rPr/>
      </w:r>
    </w:p>
    <w:tbl>
      <w:tblPr>
        <w:tblW w:w="4260" w:type="dxa"/>
        <w:jc w:val="left"/>
        <w:tblInd w:w="0" w:type="dxa"/>
        <w:tblCellMar>
          <w:top w:w="28" w:type="dxa"/>
          <w:left w:w="28" w:type="dxa"/>
          <w:bottom w:w="28" w:type="dxa"/>
          <w:right w:w="28" w:type="dxa"/>
        </w:tblCellMar>
      </w:tblPr>
      <w:tblGrid>
        <w:gridCol w:w="629"/>
        <w:gridCol w:w="553"/>
        <w:gridCol w:w="558"/>
        <w:gridCol w:w="737"/>
        <w:gridCol w:w="737"/>
        <w:gridCol w:w="1046"/>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EXECUTIVE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Rajeev K. Goel, Chief Executive Officer of PubMatic, Inc. (the “Company”), do hereby certify, pursuant to 18 U.S.C. Section 1350, as adopted pursuant to Section 906 of the Sarbanes-Oxley Act of 2002, that to my knowledge: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March 31, 2023 (the “Report”) fully complies with the requirements of Section 13(a) or 15(d) of the Securities Exchange Act of 1934; and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4244" w:type="dxa"/>
        <w:jc w:val="left"/>
        <w:tblInd w:w="0" w:type="dxa"/>
        <w:tblCellMar>
          <w:top w:w="28" w:type="dxa"/>
          <w:left w:w="28" w:type="dxa"/>
          <w:bottom w:w="28" w:type="dxa"/>
          <w:right w:w="28" w:type="dxa"/>
        </w:tblCellMar>
      </w:tblPr>
      <w:tblGrid>
        <w:gridCol w:w="629"/>
        <w:gridCol w:w="553"/>
        <w:gridCol w:w="558"/>
        <w:gridCol w:w="731"/>
        <w:gridCol w:w="731"/>
        <w:gridCol w:w="1042"/>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FINANCIAL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Chief Financial Officer of PubMatic, Inc. (the “Company”), do hereby certify, pursuant to 18 U.S.C. Section 1350, as adopted pursuant to Section 906 of the Sarbanes-Oxley Act of 2002, that to my knowledge: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March 31, 2023 (the “Report”) fully complies with the requirements of Section 13(a) or 15(d) of the Securities Exchange Act of 1934; and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4260" w:type="dxa"/>
        <w:jc w:val="left"/>
        <w:tblInd w:w="0" w:type="dxa"/>
        <w:tblCellMar>
          <w:top w:w="28" w:type="dxa"/>
          <w:left w:w="28" w:type="dxa"/>
          <w:bottom w:w="28" w:type="dxa"/>
          <w:right w:w="28" w:type="dxa"/>
        </w:tblCellMar>
      </w:tblPr>
      <w:tblGrid>
        <w:gridCol w:w="629"/>
        <w:gridCol w:w="553"/>
        <w:gridCol w:w="558"/>
        <w:gridCol w:w="737"/>
        <w:gridCol w:w="737"/>
        <w:gridCol w:w="1046"/>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41361</Words>
  <CharactersWithSpaces>272735</CharactersWithSpaces>
  <Paragraphs>2343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