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96520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74295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122"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22"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102870</wp:posOffset>
            </wp:positionV>
            <wp:extent cx="169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PUBMATIC, INC.</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66040</wp:posOffset>
            </wp:positionV>
            <wp:extent cx="1697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240" w:type="dxa"/>
            <w:vAlign w:val="bottom"/>
            <w:gridSpan w:val="2"/>
          </w:tcPr>
          <w:p>
            <w:pPr>
              <w:jc w:val="center"/>
              <w:ind w:right="995"/>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20-5863224</w:t>
            </w:r>
          </w:p>
        </w:tc>
      </w:tr>
      <w:tr>
        <w:trPr>
          <w:trHeight w:val="270"/>
        </w:trPr>
        <w:tc>
          <w:tcPr>
            <w:tcW w:w="44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gridSpan w:val="2"/>
          </w:tcPr>
          <w:p>
            <w:pPr>
              <w:jc w:val="center"/>
              <w:ind w:right="130"/>
              <w:spacing w:after="0"/>
              <w:rPr>
                <w:sz w:val="20"/>
                <w:szCs w:val="20"/>
                <w:color w:val="auto"/>
              </w:rPr>
            </w:pPr>
            <w:r>
              <w:rPr>
                <w:rFonts w:ascii="Arial" w:cs="Arial" w:eastAsia="Arial" w:hAnsi="Arial"/>
                <w:sz w:val="18"/>
                <w:szCs w:val="18"/>
                <w:color w:val="auto"/>
                <w:w w:val="93"/>
              </w:rPr>
              <w:t>(I.R.S. Employer Identification Number)</w:t>
            </w:r>
          </w:p>
        </w:tc>
      </w:tr>
      <w:tr>
        <w:trPr>
          <w:trHeight w:val="324"/>
        </w:trPr>
        <w:tc>
          <w:tcPr>
            <w:tcW w:w="1200" w:type="dxa"/>
            <w:vAlign w:val="bottom"/>
          </w:tcPr>
          <w:p>
            <w:pPr>
              <w:spacing w:after="0"/>
              <w:rPr>
                <w:sz w:val="24"/>
                <w:szCs w:val="24"/>
                <w:color w:val="auto"/>
              </w:rPr>
            </w:pPr>
          </w:p>
        </w:tc>
        <w:tc>
          <w:tcPr>
            <w:tcW w:w="3240" w:type="dxa"/>
            <w:vAlign w:val="bottom"/>
            <w:gridSpan w:val="2"/>
          </w:tcPr>
          <w:p>
            <w:pPr>
              <w:jc w:val="center"/>
              <w:ind w:right="995"/>
              <w:spacing w:after="0"/>
              <w:rPr>
                <w:sz w:val="20"/>
                <w:szCs w:val="20"/>
                <w:color w:val="auto"/>
              </w:rPr>
            </w:pPr>
            <w:r>
              <w:rPr>
                <w:rFonts w:ascii="Arial" w:cs="Arial" w:eastAsia="Arial" w:hAnsi="Arial"/>
                <w:sz w:val="18"/>
                <w:szCs w:val="18"/>
                <w:b w:val="1"/>
                <w:bCs w:val="1"/>
                <w:color w:val="auto"/>
                <w:w w:val="90"/>
              </w:rPr>
              <w:t>Not applicable</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Not applicable</w:t>
            </w:r>
          </w:p>
        </w:tc>
      </w:tr>
      <w:tr>
        <w:trPr>
          <w:trHeight w:val="270"/>
        </w:trPr>
        <w:tc>
          <w:tcPr>
            <w:tcW w:w="44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670"/>
              <w:spacing w:after="0"/>
              <w:rPr>
                <w:sz w:val="20"/>
                <w:szCs w:val="20"/>
                <w:color w:val="auto"/>
              </w:rPr>
            </w:pPr>
            <w:r>
              <w:rPr>
                <w:rFonts w:ascii="Arial" w:cs="Arial" w:eastAsia="Arial" w:hAnsi="Arial"/>
                <w:sz w:val="18"/>
                <w:szCs w:val="18"/>
                <w:color w:val="auto"/>
                <w:w w:val="91"/>
              </w:rPr>
              <w:t>(Zip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0" w:type="dxa"/>
            <w:vAlign w:val="bottom"/>
            <w:gridSpan w:val="5"/>
          </w:tcPr>
          <w:p>
            <w:pPr>
              <w:jc w:val="center"/>
              <w:ind w:right="22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740" w:type="dxa"/>
            <w:vAlign w:val="bottom"/>
            <w:gridSpan w:val="6"/>
          </w:tcPr>
          <w:p>
            <w:pPr>
              <w:jc w:val="center"/>
              <w:ind w:right="87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372"/>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0" w:type="dxa"/>
            <w:vAlign w:val="bottom"/>
            <w:gridSpan w:val="5"/>
          </w:tcPr>
          <w:p>
            <w:pPr>
              <w:jc w:val="center"/>
              <w:ind w:right="221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1200" w:type="dxa"/>
            <w:vAlign w:val="bottom"/>
          </w:tcPr>
          <w:p>
            <w:pPr>
              <w:spacing w:after="0"/>
              <w:rPr>
                <w:sz w:val="24"/>
                <w:szCs w:val="24"/>
                <w:color w:val="auto"/>
              </w:rPr>
            </w:pPr>
          </w:p>
        </w:tc>
        <w:tc>
          <w:tcPr>
            <w:tcW w:w="3240" w:type="dxa"/>
            <w:vAlign w:val="bottom"/>
            <w:gridSpan w:val="2"/>
          </w:tcPr>
          <w:p>
            <w:pPr>
              <w:jc w:val="center"/>
              <w:ind w:right="1815"/>
              <w:spacing w:after="0"/>
              <w:rPr>
                <w:sz w:val="20"/>
                <w:szCs w:val="20"/>
                <w:color w:val="auto"/>
              </w:rPr>
            </w:pPr>
            <w:r>
              <w:rPr>
                <w:rFonts w:ascii="Arial" w:cs="Arial" w:eastAsia="Arial" w:hAnsi="Arial"/>
                <w:sz w:val="18"/>
                <w:szCs w:val="18"/>
                <w:b w:val="1"/>
                <w:bCs w:val="1"/>
                <w:color w:val="auto"/>
                <w:w w:val="86"/>
              </w:rPr>
              <w:t>Title of each class</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Trading Symbol</w:t>
            </w:r>
          </w:p>
        </w:tc>
        <w:tc>
          <w:tcPr>
            <w:tcW w:w="38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440" w:type="dxa"/>
            <w:vAlign w:val="bottom"/>
            <w:gridSpan w:val="3"/>
          </w:tcPr>
          <w:p>
            <w:pPr>
              <w:jc w:val="center"/>
              <w:ind w:right="615"/>
              <w:spacing w:after="0"/>
              <w:rPr>
                <w:sz w:val="20"/>
                <w:szCs w:val="20"/>
                <w:color w:val="auto"/>
              </w:rPr>
            </w:pPr>
            <w:r>
              <w:rPr>
                <w:rFonts w:ascii="Arial" w:cs="Arial" w:eastAsia="Arial" w:hAnsi="Arial"/>
                <w:sz w:val="18"/>
                <w:szCs w:val="18"/>
                <w:color w:val="auto"/>
                <w:w w:val="89"/>
              </w:rPr>
              <w:t>Class A common stock, $0.0001 par value per share</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PUBM</w:t>
            </w:r>
          </w:p>
        </w:tc>
        <w:tc>
          <w:tcPr>
            <w:tcW w:w="5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8"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9"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00" w:type="dxa"/>
            <w:vAlign w:val="bottom"/>
          </w:tcPr>
          <w:p>
            <w:pPr>
              <w:ind w:left="240"/>
              <w:spacing w:after="0"/>
              <w:rPr>
                <w:sz w:val="20"/>
                <w:szCs w:val="20"/>
                <w:color w:val="auto"/>
              </w:rPr>
            </w:pPr>
            <w:r>
              <w:rPr>
                <w:rFonts w:ascii="Arial" w:cs="Arial" w:eastAsia="Arial" w:hAnsi="Arial"/>
                <w:sz w:val="18"/>
                <w:szCs w:val="18"/>
                <w:color w:val="auto"/>
              </w:rPr>
              <w:t>o</w:t>
            </w:r>
          </w:p>
        </w:tc>
        <w:tc>
          <w:tcPr>
            <w:tcW w:w="520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324"/>
        </w:trPr>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bl>
    <w:p>
      <w:pPr>
        <w:spacing w:after="0" w:line="18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90"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As of November 1, 2022, the registrant had 43,171,740 shares of Class A common stock outstanding and 9,394,402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TABLE OF CONTENTS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34290</wp:posOffset>
            </wp:positionV>
            <wp:extent cx="548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0940"/>
          </w:cols>
          <w:pgMar w:left="320" w:top="233" w:right="6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1.</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Item 1A.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4.</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5.</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gridSpan w:val="13"/>
          </w:tcPr>
          <w:p>
            <w:pPr>
              <w:jc w:val="center"/>
              <w:ind w:right="340"/>
              <w:spacing w:after="0"/>
              <w:rPr>
                <w:sz w:val="20"/>
                <w:szCs w:val="20"/>
                <w:color w:val="auto"/>
              </w:rPr>
            </w:pPr>
            <w:r>
              <w:rPr>
                <w:rFonts w:ascii="Arial" w:cs="Arial" w:eastAsia="Arial" w:hAnsi="Arial"/>
                <w:sz w:val="18"/>
                <w:szCs w:val="18"/>
                <w:b w:val="1"/>
                <w:bCs w:val="1"/>
                <w:color w:val="0000FF"/>
              </w:rPr>
              <w:t>PART I - FINANCIAL INFORMATION</w:t>
            </w:r>
          </w:p>
        </w:tc>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4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w w:val="89"/>
              </w:rPr>
              <w:t>Condensed Consolidated Financial Statements (Unaudited)</w:t>
            </w:r>
          </w:p>
        </w:tc>
        <w:tc>
          <w:tcPr>
            <w:tcW w:w="1920" w:type="dxa"/>
            <w:vAlign w:val="bottom"/>
            <w:gridSpan w:val="5"/>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3200" w:type="dxa"/>
            <w:vAlign w:val="bottom"/>
            <w:gridSpan w:val="11"/>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99"/>
              </w:rPr>
              <w:t>2</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99"/>
              </w:rPr>
              <w:t>3</w:t>
            </w:r>
          </w:p>
        </w:tc>
      </w:tr>
      <w:tr>
        <w:trPr>
          <w:trHeight w:val="358"/>
        </w:trPr>
        <w:tc>
          <w:tcPr>
            <w:tcW w:w="32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180" w:type="dxa"/>
            <w:vAlign w:val="bottom"/>
            <w:tcBorders>
              <w:top w:val="single" w:sz="8" w:color="0000FF"/>
            </w:tcBorders>
          </w:tcPr>
          <w:p>
            <w:pPr>
              <w:spacing w:after="0"/>
              <w:rPr>
                <w:sz w:val="24"/>
                <w:szCs w:val="24"/>
                <w:color w:val="auto"/>
              </w:rPr>
            </w:pPr>
          </w:p>
        </w:tc>
        <w:tc>
          <w:tcPr>
            <w:tcW w:w="1560" w:type="dxa"/>
            <w:vAlign w:val="bottom"/>
            <w:gridSpan w:val="3"/>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2420" w:type="dxa"/>
            <w:vAlign w:val="bottom"/>
            <w:gridSpan w:val="9"/>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140" w:type="dxa"/>
            <w:vAlign w:val="bottom"/>
            <w:gridSpan w:val="8"/>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24"/>
                <w:szCs w:val="24"/>
                <w:color w:val="auto"/>
              </w:rPr>
            </w:pPr>
          </w:p>
        </w:tc>
      </w:tr>
      <w:tr>
        <w:trPr>
          <w:trHeight w:val="358"/>
        </w:trPr>
        <w:tc>
          <w:tcPr>
            <w:tcW w:w="64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18</w:t>
            </w:r>
          </w:p>
        </w:tc>
      </w:tr>
      <w:tr>
        <w:trPr>
          <w:trHeight w:val="358"/>
        </w:trPr>
        <w:tc>
          <w:tcPr>
            <w:tcW w:w="43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100" w:type="dxa"/>
            <w:vAlign w:val="bottom"/>
            <w:gridSpan w:val="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r>
      <w:tr>
        <w:trPr>
          <w:trHeight w:val="358"/>
        </w:trPr>
        <w:tc>
          <w:tcPr>
            <w:tcW w:w="64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89"/>
              </w:rPr>
              <w:t>31</w:t>
            </w:r>
          </w:p>
        </w:tc>
      </w:tr>
      <w:tr>
        <w:trPr>
          <w:trHeight w:val="601"/>
        </w:trPr>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FF"/>
            </w:tcBorders>
            <w:gridSpan w:val="10"/>
          </w:tcPr>
          <w:p>
            <w:pPr>
              <w:jc w:val="center"/>
              <w:spacing w:after="0"/>
              <w:rPr>
                <w:sz w:val="20"/>
                <w:szCs w:val="20"/>
                <w:color w:val="auto"/>
              </w:rPr>
            </w:pPr>
            <w:r>
              <w:rPr>
                <w:rFonts w:ascii="Arial" w:cs="Arial" w:eastAsia="Arial" w:hAnsi="Arial"/>
                <w:sz w:val="18"/>
                <w:szCs w:val="18"/>
                <w:b w:val="1"/>
                <w:bCs w:val="1"/>
                <w:color w:val="0000FF"/>
              </w:rPr>
              <w:t>PART II - OTHER INFORMATION</w:t>
            </w:r>
          </w:p>
        </w:tc>
        <w:tc>
          <w:tcPr>
            <w:tcW w:w="480" w:type="dxa"/>
            <w:vAlign w:val="bottom"/>
            <w:gridSpan w:val="2"/>
          </w:tcPr>
          <w:p>
            <w:pPr>
              <w:spacing w:after="0"/>
              <w:rPr>
                <w:sz w:val="24"/>
                <w:szCs w:val="24"/>
                <w:color w:val="auto"/>
              </w:rPr>
            </w:pPr>
          </w:p>
        </w:tc>
        <w:tc>
          <w:tcPr>
            <w:tcW w:w="30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45"/>
        </w:trPr>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5120" w:type="dxa"/>
            <w:vAlign w:val="bottom"/>
            <w:gridSpan w:val="1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32</w:t>
            </w:r>
          </w:p>
        </w:tc>
      </w:tr>
      <w:tr>
        <w:trPr>
          <w:trHeight w:val="358"/>
        </w:trPr>
        <w:tc>
          <w:tcPr>
            <w:tcW w:w="64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89"/>
              </w:rPr>
              <w:t>32</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646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89"/>
              </w:rPr>
              <w:t>57</w:t>
            </w:r>
          </w:p>
        </w:tc>
      </w:tr>
      <w:tr>
        <w:trPr>
          <w:trHeight w:val="358"/>
        </w:trPr>
        <w:tc>
          <w:tcPr>
            <w:tcW w:w="43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Defaults Upon Senior Securities</w:t>
            </w:r>
          </w:p>
        </w:tc>
        <w:tc>
          <w:tcPr>
            <w:tcW w:w="2120" w:type="dxa"/>
            <w:vAlign w:val="bottom"/>
            <w:gridSpan w:val="7"/>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57</w:t>
            </w:r>
          </w:p>
        </w:tc>
      </w:tr>
      <w:tr>
        <w:trPr>
          <w:trHeight w:val="358"/>
        </w:trPr>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4140" w:type="dxa"/>
            <w:vAlign w:val="bottom"/>
            <w:gridSpan w:val="14"/>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57</w:t>
            </w:r>
          </w:p>
        </w:tc>
      </w:tr>
      <w:tr>
        <w:trPr>
          <w:trHeight w:val="358"/>
        </w:trPr>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4"/>
                <w:szCs w:val="24"/>
                <w:color w:val="auto"/>
              </w:rPr>
            </w:pPr>
          </w:p>
        </w:tc>
        <w:tc>
          <w:tcPr>
            <w:tcW w:w="4700" w:type="dxa"/>
            <w:vAlign w:val="bottom"/>
            <w:gridSpan w:val="15"/>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57</w:t>
            </w:r>
          </w:p>
        </w:tc>
      </w:tr>
      <w:tr>
        <w:trPr>
          <w:trHeight w:val="358"/>
        </w:trPr>
        <w:tc>
          <w:tcPr>
            <w:tcW w:w="646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3180" w:type="dxa"/>
            <w:vAlign w:val="bottom"/>
            <w:gridSpan w:val="4"/>
          </w:tcPr>
          <w:p>
            <w:pPr>
              <w:jc w:val="center"/>
              <w:ind w:left="2910"/>
              <w:spacing w:after="0"/>
              <w:rPr>
                <w:sz w:val="20"/>
                <w:szCs w:val="20"/>
                <w:color w:val="auto"/>
              </w:rPr>
            </w:pPr>
            <w:r>
              <w:rPr>
                <w:rFonts w:ascii="Arial" w:cs="Arial" w:eastAsia="Arial" w:hAnsi="Arial"/>
                <w:sz w:val="18"/>
                <w:szCs w:val="18"/>
                <w:color w:val="0000FF"/>
                <w:w w:val="89"/>
              </w:rPr>
              <w:t>58</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9"/>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5700" w:type="dxa"/>
            <w:vAlign w:val="bottom"/>
            <w:gridSpan w:val="19"/>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80" w:space="220"/>
            <w:col w:w="9740"/>
          </w:cols>
          <w:pgMar w:left="320" w:top="233" w:right="6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2"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77,121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286,916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14,207</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460,749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50,140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Acquisition-related intangible assets,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550,215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244,321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18,780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37"/>
        </w:trPr>
        <w:tc>
          <w:tcPr>
            <w:tcW w:w="81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266,965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293,035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Preferred stock, $0.0001 par value per share, 10,000,000 shares authorized as of September 30, 2022 and</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December 31, 2021; No shares issued and outstanding as of September 30, 2022 and December 31, 2021</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37"/>
        </w:trPr>
        <w:tc>
          <w:tcPr>
            <w:tcW w:w="8180" w:type="dxa"/>
            <w:vAlign w:val="bottom"/>
          </w:tcPr>
          <w:p>
            <w:pPr>
              <w:ind w:left="20"/>
              <w:spacing w:after="0"/>
              <w:rPr>
                <w:sz w:val="20"/>
                <w:szCs w:val="20"/>
                <w:color w:val="auto"/>
              </w:rPr>
            </w:pPr>
            <w:r>
              <w:rPr>
                <w:rFonts w:ascii="Arial" w:cs="Arial" w:eastAsia="Arial" w:hAnsi="Arial"/>
                <w:sz w:val="18"/>
                <w:szCs w:val="18"/>
                <w:color w:val="auto"/>
                <w:w w:val="89"/>
              </w:rPr>
              <w:t>Common stock, par value $0.0001 per share; 1,000,000,000 Class A shares authorized as of September 30, 2022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92"/>
              </w:rPr>
              <w:t>and December 31, 2021; 43,034,577 and 40,695,140 shares issued and outstanding as of September 30, 2022</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91"/>
              </w:rPr>
              <w:t>and December 31, 2021, respectively; 1,000,000,000 Class B shares authorized as of September 30, 2022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93"/>
              </w:rPr>
              <w:t>December 31, 2021; 9,474,402 and 11,159,609 shares issued and outstanding as of September 30, 2022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at cost; 3,140,437 shares as of September 30, 2022 and December 31, 2021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169,401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99,295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257,180</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550,215</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0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41,408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41,790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6"/>
              </w:rPr>
              <w:t>Weighted-average shares used to compute net income per share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52,435,601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50,559,636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52,168,853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49,754,449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56,944,230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56,498,891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56,895,162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56,575,867</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1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16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ind w:left="40"/>
              <w:spacing w:after="0" w:line="158"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line="158"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51,854,749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(11,486)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257,180</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w w:val="96"/>
              </w:rPr>
              <w:t>Issuance of common stock related to RSU</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vesting</w:t>
            </w:r>
          </w:p>
        </w:tc>
        <w:tc>
          <w:tcPr>
            <w:tcW w:w="1000" w:type="dxa"/>
            <w:vAlign w:val="bottom"/>
          </w:tcPr>
          <w:p>
            <w:pPr>
              <w:jc w:val="right"/>
              <w:spacing w:after="0"/>
              <w:rPr>
                <w:sz w:val="20"/>
                <w:szCs w:val="20"/>
                <w:color w:val="auto"/>
              </w:rPr>
            </w:pPr>
            <w:r>
              <w:rPr>
                <w:rFonts w:ascii="Arial" w:cs="Arial" w:eastAsia="Arial" w:hAnsi="Arial"/>
                <w:sz w:val="18"/>
                <w:szCs w:val="18"/>
                <w:color w:val="auto"/>
              </w:rPr>
              <w:t>25,033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31, 2022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52,010,740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(11,486)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267,706</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Issuance of common stock related to</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000" w:type="dxa"/>
            <w:vAlign w:val="bottom"/>
          </w:tcPr>
          <w:p>
            <w:pPr>
              <w:jc w:val="right"/>
              <w:spacing w:after="0"/>
              <w:rPr>
                <w:sz w:val="20"/>
                <w:szCs w:val="20"/>
                <w:color w:val="auto"/>
              </w:rPr>
            </w:pPr>
            <w:r>
              <w:rPr>
                <w:rFonts w:ascii="Arial" w:cs="Arial" w:eastAsia="Arial" w:hAnsi="Arial"/>
                <w:sz w:val="18"/>
                <w:szCs w:val="18"/>
                <w:color w:val="auto"/>
              </w:rPr>
              <w:t>141,709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Issuance of common stock related to RSU</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vesting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Balance — June 30,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52,338,348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2"/>
              </w:rPr>
              <w:t>(11,486)</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183,890</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111,893</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283,916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77,754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Issuance of common stock related to RSU</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vesting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Balance — September 30,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52,508,979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2"/>
              </w:rPr>
              <w:t>(11,486)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189,085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115,219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14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line="158"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0"/>
                <w:szCs w:val="10"/>
                <w:color w:val="auto"/>
              </w:rPr>
            </w:pPr>
          </w:p>
        </w:tc>
        <w:tc>
          <w:tcPr>
            <w:tcW w:w="960" w:type="dxa"/>
            <w:vAlign w:val="bottom"/>
            <w:gridSpan w:val="2"/>
            <w:vMerge w:val="restart"/>
          </w:tcPr>
          <w:p>
            <w:pPr>
              <w:ind w:left="2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920" w:type="dxa"/>
            <w:vAlign w:val="bottom"/>
            <w:gridSpan w:val="2"/>
            <w:vMerge w:val="restart"/>
          </w:tcPr>
          <w:p>
            <w:pPr>
              <w:ind w:left="60"/>
              <w:spacing w:after="0" w:line="158"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35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100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9"/>
        </w:trPr>
        <w:tc>
          <w:tcPr>
            <w:tcW w:w="35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48,988,142</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175,427</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Repurchase of treasury stock, at cost</w:t>
            </w:r>
          </w:p>
        </w:tc>
        <w:tc>
          <w:tcPr>
            <w:tcW w:w="100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49,265,861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184,086</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800,426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Repurchase of treasury stock, at cost</w:t>
            </w: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related to</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9"/>
        </w:trPr>
        <w:tc>
          <w:tcPr>
            <w:tcW w:w="3520" w:type="dxa"/>
            <w:vAlign w:val="bottom"/>
          </w:tcPr>
          <w:p>
            <w:pPr>
              <w:ind w:left="240"/>
              <w:spacing w:after="0"/>
              <w:rPr>
                <w:sz w:val="20"/>
                <w:szCs w:val="20"/>
                <w:color w:val="auto"/>
              </w:rPr>
            </w:pPr>
            <w:r>
              <w:rPr>
                <w:rFonts w:ascii="Arial" w:cs="Arial" w:eastAsia="Arial" w:hAnsi="Arial"/>
                <w:sz w:val="18"/>
                <w:szCs w:val="18"/>
                <w:color w:val="auto"/>
                <w:w w:val="96"/>
              </w:rPr>
              <w:t>Issuance of common stock related to RSU</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vesting</w:t>
            </w:r>
          </w:p>
        </w:tc>
        <w:tc>
          <w:tcPr>
            <w:tcW w:w="1000" w:type="dxa"/>
            <w:vAlign w:val="bottom"/>
          </w:tcPr>
          <w:p>
            <w:pPr>
              <w:jc w:val="right"/>
              <w:spacing w:after="0"/>
              <w:rPr>
                <w:sz w:val="20"/>
                <w:szCs w:val="20"/>
                <w:color w:val="auto"/>
              </w:rPr>
            </w:pPr>
            <w:r>
              <w:rPr>
                <w:rFonts w:ascii="Arial" w:cs="Arial" w:eastAsia="Arial" w:hAnsi="Arial"/>
                <w:sz w:val="18"/>
                <w:szCs w:val="18"/>
                <w:color w:val="auto"/>
              </w:rPr>
              <w:t>21,973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Balance — June 30,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50,242,826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202,081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615,673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Issuance of common stock related to RSU</w:t>
            </w: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vesting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21,839</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September 30,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50,880,338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Unrealized loss and impairment of equity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Accretion of discount on marketable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Non-cash operating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43"/>
        </w:trPr>
        <w:tc>
          <w:tcPr>
            <w:tcW w:w="818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liabilities, non-current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60,202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(53,118)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maturities of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Business combination, net of cash acquired</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 for employee stock 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Principal payments on 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Payments for offering costs</w:t>
            </w: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to acquire treasury stock</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81,188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NON-CASH INVESTING AND FINANCING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capitalized as internal-use software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costs included in accounts payable and accrued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new lease obligations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combination purchase consideration - indemnification claims holdback</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PUBMATIC,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67" w:lineRule="exact"/>
        <w:rPr>
          <w:sz w:val="20"/>
          <w:szCs w:val="20"/>
          <w:color w:val="auto"/>
        </w:rPr>
      </w:pPr>
    </w:p>
    <w:p>
      <w:pPr>
        <w:ind w:right="5200"/>
        <w:spacing w:after="0" w:line="378"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Fiscal Year</w:t>
      </w:r>
    </w:p>
    <w:p>
      <w:pPr>
        <w:jc w:val="both"/>
        <w:ind w:firstLine="324"/>
        <w:spacing w:after="0" w:line="277" w:lineRule="auto"/>
        <w:rPr>
          <w:sz w:val="20"/>
          <w:szCs w:val="20"/>
          <w:color w:val="auto"/>
        </w:rPr>
      </w:pPr>
      <w:r>
        <w:rPr>
          <w:rFonts w:ascii="Arial" w:cs="Arial" w:eastAsia="Arial" w:hAnsi="Arial"/>
          <w:sz w:val="18"/>
          <w:szCs w:val="18"/>
          <w:color w:val="auto"/>
        </w:rPr>
        <w:t>The Company’s fiscal year ends on December 31, and its fiscal quarters end on March 31, June 30, September 30, and December 31. References to fiscal year 2022, for example, refer to the fiscal year ended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March 1, 2022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 Certain prior period amounts reported in our condensed consolidated financial statements and notes thereto have been reclassified to conform to the current period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September 30, 2022, including those resulting from the impacts of the COVID-19 pandemic, may result in actual outcomes that differ from those contemplated by the Company’s assumptions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condensed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Intangible Assets and Goodwill</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Acquisition-related intangible assets with finite lives are amortized over their estimated useful lives on a straight-line basis. Goodwill amounts are not amortized. Acquisition-related intangible assets and goodwill are tested for impairment at least annually, and more frequently upon the occurrence of certain events.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Equity Investment</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three months ended September 30, 2022, the Company concluded there was no longer a readily determinable fair value for its equity investment because the shares of the issuer were no longer publicly quoted pursuant to SEC Rule 15c2-11. The Company evaluated the measurement guidance for non-marketable equity securities and performed a qualitative assessment of various impairment indicators and concluded the equity investment was impaired as of September 30, 2022. As a result, the Company recognized an impairment loss equal to the difference between the fair value of the investment and its carrying amount. An impairment charge of $6.4 million was recorded within other income (expense), net in the condensed consolidated statements of operations for the three and nine months ended September 30,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recognizes and measures compensation expense for all stock-based payment awards granted to employees, directors, and nonemployees, including stock options, restricted stock units (“RSUs”), and purchases under the employee stock purchase plan (the “ESPP”) based on the fair value of the awards on the date of grant. The fair value of stock options and shares of common stock to be issued under the ESPP is estimated using the Black-Scholes option pricing model. The grant date fair value of RSUs is based on the closing market price of the Company’s Class A common stock on the date of grant. The Black-Scholes option pricing model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regarding stock-based compensation and the assumptions used for determining the fair value of stock options and ESPP awards, refer to Note 9 — “Stockholders’ Equity and Stock Option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defines its revenue concentration based on revenue recognized from individual publishers. For the three months ended September 30, 2022 and 2021, one publisher represented 13% and 17%, respectively, and 13% and 18% for the nine months ended September 30, 2022 and 2021, respectively, of the Company’s revenue. As of September 30, 2022, two buyers accounted for 36% and 14%, respectively, of accounts receivable. As of December 31, 2021, two buyers accounted for 29% and 19%, respectively, of accounts receivable.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along with other ASU's containing minor amendments and technical corrections, provides for a comprehensive overhaul of the lease accounting model and changes the definition of a lease within US GAAP. Topic 842 supersedes the legacy Topic 840 lease accounting guidance and is intended to increase transparency and comparability among organizations by recognizing right-of-use lease assets and lease liabilities on the balance sheet and requiring disclosure of key information about leasing arrangements. Lease expense continues to be recognized in a manner similar to legacy GAAP.</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 of adopting Topic 842 resulted in the recognition of operating right-of-use assets and corresponding lease liabilities on the Company’s consolidated balance sheet. The Company adopted Topic 842 in the fourth quarter of our fiscal 2021 reflecting an initial application date of January 1, 2021 using the modified retrospective transition approach under which the adoption date of Topic 842 became the application date, with the comparative periods presented and disclosed under the Topic 840 requirements.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Interim financial data for the comparable prior-year quarter ended September 30, 2021 has been revised to reflect the adoption of Topic 842 and differs from what was disclosed in the prior year Form 10-Q filed on November 10, 2021. The standard did not affect the Company’s consolidated statements of operations, comprehensive income, and stockholders’ equity for the three and nine months ended September 30, 2021. Though net cash provided by operating, investing, and financing activities were unchanged, the standard did affect certain operating cash flow line items within the Company’s consolidated statements of cash flows for the nine months ended September 30,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Select condensed consolidated cash flow items, which reflects the adoption of the new standard as reported for the nine months ended September 30, 2021, are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gridSpan w:val="6"/>
          </w:tcPr>
          <w:p>
            <w:pPr>
              <w:jc w:val="center"/>
              <w:ind w:left="996"/>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320" w:type="dxa"/>
            <w:vAlign w:val="bottom"/>
          </w:tcPr>
          <w:p>
            <w:pPr>
              <w:spacing w:after="0"/>
              <w:rPr>
                <w:sz w:val="16"/>
                <w:szCs w:val="16"/>
                <w:color w:val="auto"/>
              </w:rPr>
            </w:pPr>
          </w:p>
        </w:tc>
      </w:tr>
      <w:tr>
        <w:trPr>
          <w:trHeight w:val="39"/>
        </w:trPr>
        <w:tc>
          <w:tcPr>
            <w:tcW w:w="6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7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Balances Without Adoption of</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6"/>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Topic 842</w:t>
            </w:r>
          </w:p>
        </w:tc>
        <w:tc>
          <w:tcPr>
            <w:tcW w:w="160" w:type="dxa"/>
            <w:vAlign w:val="bottom"/>
          </w:tcPr>
          <w:p>
            <w:pPr>
              <w:spacing w:after="0"/>
              <w:rPr>
                <w:sz w:val="16"/>
                <w:szCs w:val="16"/>
                <w:color w:val="auto"/>
              </w:rPr>
            </w:pPr>
          </w:p>
        </w:tc>
        <w:tc>
          <w:tcPr>
            <w:tcW w:w="132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Effect of Change</w:t>
            </w:r>
          </w:p>
        </w:tc>
      </w:tr>
      <w:tr>
        <w:trPr>
          <w:trHeight w:val="219"/>
        </w:trPr>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Previously Reported in the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86"/>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Prior Year 10-Q)</w:t>
            </w:r>
          </w:p>
        </w:tc>
        <w:tc>
          <w:tcPr>
            <w:tcW w:w="160" w:type="dxa"/>
            <w:vAlign w:val="bottom"/>
          </w:tcPr>
          <w:p>
            <w:pPr>
              <w:spacing w:after="0"/>
              <w:rPr>
                <w:sz w:val="16"/>
                <w:szCs w:val="16"/>
                <w:color w:val="auto"/>
              </w:rPr>
            </w:pPr>
          </w:p>
        </w:tc>
        <w:tc>
          <w:tcPr>
            <w:tcW w:w="1320" w:type="dxa"/>
            <w:vAlign w:val="bottom"/>
          </w:tcPr>
          <w:p>
            <w:pPr>
              <w:jc w:val="right"/>
              <w:ind w:right="176"/>
              <w:spacing w:after="0"/>
              <w:rPr>
                <w:sz w:val="20"/>
                <w:szCs w:val="20"/>
                <w:color w:val="auto"/>
              </w:rPr>
            </w:pPr>
            <w:r>
              <w:rPr>
                <w:rFonts w:ascii="Arial" w:cs="Arial" w:eastAsia="Arial" w:hAnsi="Arial"/>
                <w:sz w:val="14"/>
                <w:szCs w:val="14"/>
                <w:b w:val="1"/>
                <w:bCs w:val="1"/>
                <w:color w:val="auto"/>
              </w:rPr>
              <w:t>Higher (Lower)</w:t>
            </w:r>
          </w:p>
        </w:tc>
      </w:tr>
      <w:tr>
        <w:trPr>
          <w:trHeight w:val="39"/>
        </w:trPr>
        <w:tc>
          <w:tcPr>
            <w:tcW w:w="6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operating lease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60,202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60,202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current GAAP, such assets and liabilities are recognized by the acquirer at fair value on the acquisition date. ASU 2021-08 is effective for the Company in fiscal year 2023 and the adoption, including the impact and required disclosures, will be included in its 2023 Form 10-K. The Company does not expect the adoption of this guidance to have a material impact on its consolidated financial statements, however, any financial impact will depend on the magnitude and nature of future business combinations.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measured on a recurring basis by level within the fair value hierarchy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37,859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37,859</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42,393</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57,146</w:t>
            </w: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56,768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56,768</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113,914</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113,914</w:t>
            </w:r>
          </w:p>
        </w:tc>
      </w:tr>
      <w:tr>
        <w:trPr>
          <w:trHeight w:val="237"/>
        </w:trPr>
        <w:tc>
          <w:tcPr>
            <w:tcW w:w="504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37,859</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118,448</w:t>
            </w:r>
          </w:p>
        </w:tc>
        <w:tc>
          <w:tcPr>
            <w:tcW w:w="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156,307</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7"/>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65,311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65,311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65,311</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26,167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26,167</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36"/>
        </w:trPr>
        <w:tc>
          <w:tcPr>
            <w:tcW w:w="5040" w:type="dxa"/>
            <w:vAlign w:val="bottom"/>
          </w:tcPr>
          <w:p>
            <w:pPr>
              <w:ind w:left="240"/>
              <w:spacing w:after="0"/>
              <w:rPr>
                <w:sz w:val="20"/>
                <w:szCs w:val="20"/>
                <w:color w:val="auto"/>
              </w:rPr>
            </w:pPr>
            <w:r>
              <w:rPr>
                <w:rFonts w:ascii="Arial" w:cs="Arial" w:eastAsia="Arial" w:hAnsi="Arial"/>
                <w:sz w:val="18"/>
                <w:szCs w:val="18"/>
                <w:color w:val="auto"/>
              </w:rPr>
              <w:t>Equity investment</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5,948</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r>
      <w:tr>
        <w:trPr>
          <w:trHeight w:val="264"/>
        </w:trPr>
        <w:tc>
          <w:tcPr>
            <w:tcW w:w="504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83,063</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154,322</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marketable securities by significant investment categories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 Loss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57,146</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56,768</w:t>
            </w: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 Loss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26,167</w:t>
            </w: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remaining contractual maturity of all marketable securities was within one year as of September 30, 2022 and December 31, 2021. Realized gains and losses were immaterial for the three and nine months ended September 30, 2022 and 2021. As of September 30, 2022 and 2021, there were no securities that were in an unrealized loss position for more than twelve months.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92,561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(76,876)</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expense related to property, equipment, and software (excluding amortization of internal-use software) was $6.4 million and $4.4 million for the three months ended September 30, 2022 and 2021, respectively, and $16.3 million and $10.7 million for the nine months ended September 30, 2022 and 2021, respectively.</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capitalized $3.5 million and $2.6 million in software development costs during the three months ended September 30, 2022 and 2021, respectively, and $10.3 million and $7.2 million for the nine months ended September 30, 2022 and 2021, respectively. Amortization expense of internal-use software was $2.6 million and $1.9 million during the three months ended September 30, 2022 and 2021, respectively, and $7.2 million and $5.3 million for the nine months ended September 30, 2022 and 2021. These costs are included within cost of revenue in the condensed consolidated statements of operations.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did not recognize any impairment charges on its long-lived assets during the nine months ended September 30, 2022 and 2021, respectively.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Intangible Assets,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Acquisition-related intangible assets, net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Acquisition-related intangible assets, gross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acquisition-related 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amortization period for developed technology and customer relationships is 5 years and 2 years, respectively. Amortization expense related to acquisition-related intangibles was $0.1 million for the three and nine months ended September 30,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estimated future amortization expense for acquisition-related intangible assets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estimated future amortization expense for acquisition-related intangible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consisted of the following (in thousands):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420" w:hanging="1127"/>
        <w:spacing w:after="0"/>
        <w:tabs>
          <w:tab w:leader="none" w:pos="2420" w:val="left"/>
        </w:tabs>
        <w:numPr>
          <w:ilvl w:val="0"/>
          <w:numId w:val="1"/>
        </w:numPr>
        <w:rPr>
          <w:rFonts w:ascii="Arial" w:cs="Arial" w:eastAsia="Arial" w:hAnsi="Arial"/>
          <w:sz w:val="15"/>
          <w:szCs w:val="15"/>
          <w:color w:val="auto"/>
        </w:rPr>
      </w:pPr>
      <w:r>
        <w:rPr>
          <w:rFonts w:ascii="Arial" w:cs="Arial" w:eastAsia="Arial" w:hAnsi="Arial"/>
          <w:sz w:val="15"/>
          <w:szCs w:val="15"/>
          <w:color w:val="auto"/>
        </w:rPr>
        <w:t>520</w:t>
      </w:r>
    </w:p>
    <w:p>
      <w:pPr>
        <w:spacing w:after="0" w:line="97" w:lineRule="exact"/>
        <w:rPr>
          <w:rFonts w:ascii="Arial" w:cs="Arial" w:eastAsia="Arial" w:hAnsi="Arial"/>
          <w:sz w:val="15"/>
          <w:szCs w:val="15"/>
          <w:color w:val="auto"/>
        </w:rPr>
      </w:pPr>
    </w:p>
    <w:p>
      <w:pPr>
        <w:ind w:left="2280"/>
        <w:spacing w:after="0"/>
        <w:rPr>
          <w:rFonts w:ascii="Arial" w:cs="Arial" w:eastAsia="Arial" w:hAnsi="Arial"/>
          <w:sz w:val="15"/>
          <w:szCs w:val="15"/>
          <w:color w:val="auto"/>
        </w:rPr>
      </w:pPr>
      <w:r>
        <w:rPr>
          <w:rFonts w:ascii="Arial" w:cs="Arial" w:eastAsia="Arial" w:hAnsi="Arial"/>
          <w:sz w:val="15"/>
          <w:szCs w:val="15"/>
          <w:color w:val="auto"/>
        </w:rPr>
        <w:t>2,080</w:t>
      </w:r>
    </w:p>
    <w:p>
      <w:pPr>
        <w:spacing w:after="0" w:line="97" w:lineRule="exact"/>
        <w:rPr>
          <w:rFonts w:ascii="Arial" w:cs="Arial" w:eastAsia="Arial" w:hAnsi="Arial"/>
          <w:sz w:val="15"/>
          <w:szCs w:val="15"/>
          <w:color w:val="auto"/>
        </w:rPr>
      </w:pPr>
    </w:p>
    <w:p>
      <w:pPr>
        <w:ind w:left="2280"/>
        <w:spacing w:after="0"/>
        <w:rPr>
          <w:rFonts w:ascii="Arial" w:cs="Arial" w:eastAsia="Arial" w:hAnsi="Arial"/>
          <w:sz w:val="15"/>
          <w:szCs w:val="15"/>
          <w:color w:val="auto"/>
        </w:rPr>
      </w:pPr>
      <w:r>
        <w:rPr>
          <w:rFonts w:ascii="Arial" w:cs="Arial" w:eastAsia="Arial" w:hAnsi="Arial"/>
          <w:sz w:val="15"/>
          <w:szCs w:val="15"/>
          <w:color w:val="auto"/>
        </w:rPr>
        <w:t>1,936</w:t>
      </w:r>
    </w:p>
    <w:p>
      <w:pPr>
        <w:spacing w:after="0" w:line="97" w:lineRule="exact"/>
        <w:rPr>
          <w:rFonts w:ascii="Arial" w:cs="Arial" w:eastAsia="Arial" w:hAnsi="Arial"/>
          <w:sz w:val="15"/>
          <w:szCs w:val="15"/>
          <w:color w:val="auto"/>
        </w:rPr>
      </w:pPr>
    </w:p>
    <w:p>
      <w:pPr>
        <w:ind w:left="2280"/>
        <w:spacing w:after="0"/>
        <w:rPr>
          <w:rFonts w:ascii="Arial" w:cs="Arial" w:eastAsia="Arial" w:hAnsi="Arial"/>
          <w:sz w:val="15"/>
          <w:szCs w:val="15"/>
          <w:color w:val="auto"/>
        </w:rPr>
      </w:pPr>
      <w:r>
        <w:rPr>
          <w:rFonts w:ascii="Arial" w:cs="Arial" w:eastAsia="Arial" w:hAnsi="Arial"/>
          <w:sz w:val="15"/>
          <w:szCs w:val="15"/>
          <w:color w:val="auto"/>
        </w:rPr>
        <w:t>1,580</w:t>
      </w:r>
    </w:p>
    <w:p>
      <w:pPr>
        <w:spacing w:after="0" w:line="97" w:lineRule="exact"/>
        <w:rPr>
          <w:rFonts w:ascii="Arial" w:cs="Arial" w:eastAsia="Arial" w:hAnsi="Arial"/>
          <w:sz w:val="15"/>
          <w:szCs w:val="15"/>
          <w:color w:val="auto"/>
        </w:rPr>
      </w:pPr>
    </w:p>
    <w:p>
      <w:pPr>
        <w:ind w:left="2280"/>
        <w:spacing w:after="0"/>
        <w:rPr>
          <w:rFonts w:ascii="Arial" w:cs="Arial" w:eastAsia="Arial" w:hAnsi="Arial"/>
          <w:sz w:val="15"/>
          <w:szCs w:val="15"/>
          <w:color w:val="auto"/>
        </w:rPr>
      </w:pPr>
      <w:r>
        <w:rPr>
          <w:rFonts w:ascii="Arial" w:cs="Arial" w:eastAsia="Arial" w:hAnsi="Arial"/>
          <w:sz w:val="15"/>
          <w:szCs w:val="15"/>
          <w:color w:val="auto"/>
        </w:rPr>
        <w:t>1,580</w:t>
      </w:r>
    </w:p>
    <w:p>
      <w:pPr>
        <w:spacing w:after="0" w:line="97" w:lineRule="exact"/>
        <w:rPr>
          <w:rFonts w:ascii="Arial" w:cs="Arial" w:eastAsia="Arial" w:hAnsi="Arial"/>
          <w:sz w:val="15"/>
          <w:szCs w:val="15"/>
          <w:color w:val="auto"/>
        </w:rPr>
      </w:pPr>
    </w:p>
    <w:p>
      <w:pPr>
        <w:ind w:left="2280"/>
        <w:spacing w:after="0"/>
        <w:rPr>
          <w:rFonts w:ascii="Arial" w:cs="Arial" w:eastAsia="Arial" w:hAnsi="Arial"/>
          <w:sz w:val="15"/>
          <w:szCs w:val="15"/>
          <w:color w:val="auto"/>
        </w:rPr>
      </w:pPr>
      <w:r>
        <w:rPr>
          <w:rFonts w:ascii="Arial" w:cs="Arial" w:eastAsia="Arial" w:hAnsi="Arial"/>
          <w:sz w:val="15"/>
          <w:szCs w:val="15"/>
          <w:color w:val="auto"/>
        </w:rPr>
        <w:t>1,123</w:t>
      </w:r>
    </w:p>
    <w:p>
      <w:pPr>
        <w:spacing w:after="0" w:line="111" w:lineRule="exact"/>
        <w:rPr>
          <w:sz w:val="20"/>
          <w:szCs w:val="20"/>
          <w:color w:val="auto"/>
        </w:rPr>
      </w:pPr>
    </w:p>
    <w:p>
      <w:pPr>
        <w:ind w:left="2280" w:hanging="987"/>
        <w:spacing w:after="0"/>
        <w:tabs>
          <w:tab w:leader="none" w:pos="2280" w:val="left"/>
        </w:tabs>
        <w:numPr>
          <w:ilvl w:val="0"/>
          <w:numId w:val="2"/>
        </w:numPr>
        <w:rPr>
          <w:rFonts w:ascii="Arial" w:cs="Arial" w:eastAsia="Arial" w:hAnsi="Arial"/>
          <w:sz w:val="15"/>
          <w:szCs w:val="15"/>
          <w:color w:val="auto"/>
        </w:rPr>
      </w:pPr>
      <w:r>
        <w:rPr>
          <w:rFonts w:ascii="Arial" w:cs="Arial" w:eastAsia="Arial" w:hAnsi="Arial"/>
          <w:sz w:val="15"/>
          <w:szCs w:val="15"/>
          <w:color w:val="auto"/>
        </w:rPr>
        <w:t>8,819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79375</wp:posOffset>
            </wp:positionV>
            <wp:extent cx="9429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5" w:lineRule="exact"/>
        <w:rPr>
          <w:sz w:val="20"/>
          <w:szCs w:val="20"/>
          <w:color w:val="auto"/>
        </w:rPr>
      </w:pPr>
    </w:p>
    <w:p>
      <w:pPr>
        <w:ind w:left="300"/>
        <w:spacing w:after="0"/>
        <w:tabs>
          <w:tab w:leader="none" w:pos="1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4" w:lineRule="exact"/>
        <w:rPr>
          <w:sz w:val="20"/>
          <w:szCs w:val="20"/>
          <w:color w:val="auto"/>
        </w:rPr>
      </w:pPr>
    </w:p>
    <w:p>
      <w:pPr>
        <w:sectPr>
          <w:pgSz w:w="11900" w:h="16838" w:orient="portrait"/>
          <w:cols w:equalWidth="0" w:num="2">
            <w:col w:w="7760" w:space="720"/>
            <w:col w:w="276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publishers</w:t>
            </w:r>
          </w:p>
        </w:tc>
        <w:tc>
          <w:tcPr>
            <w:tcW w:w="306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235,440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accounts payable</w:t>
            </w:r>
          </w:p>
        </w:tc>
        <w:tc>
          <w:tcPr>
            <w:tcW w:w="3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1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12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accrued liabilities</w:t>
            </w:r>
          </w:p>
        </w:tc>
        <w:tc>
          <w:tcPr>
            <w:tcW w:w="3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and Security Agreement</w:t>
      </w:r>
    </w:p>
    <w:p>
      <w:pPr>
        <w:spacing w:after="0" w:line="12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June 2021, the Company amended and restated its loan and security agreement (the “Loan Agreement”) with Silicon Valley Bank (“SVB”).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As of September 30, 2022, the applicable interest rate under the revolving line of credit was 6.25%. An unused revolver fee in the amount of 0.40% per annum of the average unused portion of the revolver line is charged and is payable quarterly in arrears in any quarter where the average closing outstanding balance is less than $5.0 million. The maturity date of the revolving line of credit is June 6, 2024. As of September 30, 2022, there were no outstanding advances under the revolving line of credit.</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obligations under the line of credit and the letters of credit (described in Note 8)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September 30, 2022.</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17, 2022, the Company entered into a Senior Secured Credit Facilities Credit Agreement with the several lenders parties thereto, and Silicon Valley Bank, as administrative agent, lead arranger, issuing lender, and swingline lender. In connection with the entry into the Credit Agreement, the Company’s existing Loan Agreement described above was terminated. For additional information, see Note 14, “Subsequent Events.”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2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39"/>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Finance lease cost - amortization of right-of-use assets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interest on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06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592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1"/>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sublease income was recognized during the nine months ended September 30, 2022 and 2021. Short-term and variable lease expenses are not material to the Company’s condensed consolidated financial statements.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a weighted average discount rate of 3.40% and 2.24% has been applied to the remaining operating and finance lease payments, respectively, to calculate the lease liabilities included within the condensed consolidated balance sheets. The weighted average remaining lease term of operating and finance leases is 4.8 and 5.5 years, respectively, as of September 30, 2022.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the maturities of lease liabilities under operating and finance leases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6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6,586</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5,440</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Business Combination</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attributed to $7.9 million of developed technology intangible assets (to be amortized over an estimated useful life of 5 years), $1.0 million of customer relationship intangible assets (to be amortized over an estimated useful life of 2 years), $23.6 million of goodwill, $1.1 million of deferred tax liabilities, and $0.6 million of net liabilities assumed. The fair values of assets acquired and liabilities assumed may change over the measurement period as additional information is received. The measurement period will end no later than one year from the acquisition date. The goodwill recognized was primarily attributable to the assembled workforce and the expected synergies from integrating Martin’s technology into the Company’s platform. Goodwill is not expected to be deductible for tax purposes. The financial results of Martin are included in the Company’s condensed consolidated financial statements from the date of acquisition. Separate operating results and pro forma results of operations for Martin have not been presented as the effect of this acquisition was not material to the Company’s financial results. Acquisition-related costs were $0.9 million and are included in general and administrative expenses in the condensed consolidated statements of operations for the three and nine months ended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purchase obligations primarily relate to minimum contractual payments due to data center providers. During the three and nine months ended September 30, 2022, there were no material changes outside of the normal course of business to the Company’s non-cancelable purchase obligations disclosed in the Company’s Annual Report on Form 10-K for the fiscal year ended December 31,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2022, the Company had two irrevocable letters of credit outstanding related to non-cancelable facilities leases in the amounts of $3.5 million and $0.5 million, with annual automatic renewal and final expiration dates in July 2028 and April 2025, respectively. As of December 31, 2021, the Company had two irrevocable letters of credit outstanding related to non-cancelable facilities leases in the amounts of $3.5 million and $0.7 million, with annual automatic renewal and final expiration dates in July 2028 and June 2022,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 and 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September 30, 2022, the Company has reserved 7,333,638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w:t>
      </w:r>
    </w:p>
    <w:p>
      <w:pPr>
        <w:spacing w:after="0" w:line="5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To the extent outstanding awards under the 2017 Plan and the 2006 Plan are forfeited, expire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and related information under the Company’s equity incentive plans: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ind w:left="98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4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 Shares</w:t>
            </w:r>
          </w:p>
        </w:tc>
        <w:tc>
          <w:tcPr>
            <w:tcW w:w="16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5"/>
                <w:szCs w:val="15"/>
                <w:color w:val="auto"/>
              </w:rPr>
            </w:pPr>
          </w:p>
        </w:tc>
        <w:tc>
          <w:tcPr>
            <w:tcW w:w="13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Remaining Contractual</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Outstanding Options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6,542,351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184,727</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450,153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(96,179)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Outstanding — September 30, 2022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6,591,177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Vested and exercisable — September 30,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4,893,334</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September 30, 2022, unrecognized stock-based compensation of $16.5 million related to unvested stock options will be recognized on a straight-line basis over a weighted average period of 2.37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 and related information under the Company’s 2020 Plan: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60"/>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1"/>
              </w:rPr>
              <w:t>Weighted-Average</w:t>
            </w:r>
          </w:p>
        </w:tc>
      </w:t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r>
      <w:tr>
        <w:trPr>
          <w:trHeight w:val="186"/>
        </w:trPr>
        <w:tc>
          <w:tcPr>
            <w:tcW w:w="81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per Share</w:t>
            </w:r>
          </w:p>
        </w:tc>
      </w:tr>
      <w:tr>
        <w:trPr>
          <w:trHeight w:val="39"/>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1,416,994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Canceled/Forfeited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(125,331)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30.10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1,567,432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2022, unrecognized stock-based compensation of $40.1 million related to unvested RSUs will be recognized on a straight-line basis over a weighted average period of 3.20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September 30, 2022, the Company had reserved 571,766 shares of its Class A common stock for issuance under the ESPP.</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September 30, 2022, $0.5 million has been withheld on behalf of employees for a future purchase under the ESPP due to the timing of payroll deductions and is included in accrued and other current liabilities. For the nine months ended September 30, 2022, there were 141,709 shares of our Class A common stock purchased under the ESPP.</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2022, unrecognized stock-based compensation expense related to the ESPP was $0.6 million, which is expected to be recognized over a weighted-average period of 0.67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recognized in the condensed consolidated statements of operations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50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7"/>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net of tax effect</w:t>
            </w: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60" w:type="dxa"/>
            <w:vAlign w:val="bottom"/>
          </w:tcPr>
          <w:p>
            <w:pPr>
              <w:spacing w:after="0"/>
              <w:rPr>
                <w:sz w:val="24"/>
                <w:szCs w:val="24"/>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Income Per Share Attributable to Common Stockholders</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has two classes of common stock, Class A and Class B. Basic and diluted earnings per share (“EPS”) attributable to common stockholders for Class A and Class B common stock were the same because they were entitled to the same liquidation and dividend rights.</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per share (in thousands,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39"/>
        </w:trPr>
        <w:tc>
          <w:tcPr>
            <w:tcW w:w="5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2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40" w:type="dxa"/>
            <w:vAlign w:val="bottom"/>
          </w:tcPr>
          <w:p>
            <w:pPr>
              <w:ind w:left="140"/>
              <w:spacing w:after="0"/>
              <w:rPr>
                <w:sz w:val="20"/>
                <w:szCs w:val="20"/>
                <w:color w:val="auto"/>
              </w:rPr>
            </w:pPr>
            <w:r>
              <w:rPr>
                <w:rFonts w:ascii="Arial" w:cs="Arial" w:eastAsia="Arial" w:hAnsi="Arial"/>
                <w:sz w:val="17"/>
                <w:szCs w:val="17"/>
                <w:color w:val="auto"/>
              </w:rPr>
              <w:t>Net income attributable to common stockholders – basic</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15,924</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28,365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40" w:type="dxa"/>
            <w:vAlign w:val="bottom"/>
          </w:tcPr>
          <w:p>
            <w:pPr>
              <w:ind w:left="140"/>
              <w:spacing w:after="0"/>
              <w:rPr>
                <w:sz w:val="20"/>
                <w:szCs w:val="20"/>
                <w:color w:val="auto"/>
              </w:rPr>
            </w:pPr>
            <w:r>
              <w:rPr>
                <w:rFonts w:ascii="Arial" w:cs="Arial" w:eastAsia="Arial" w:hAnsi="Arial"/>
                <w:sz w:val="17"/>
                <w:szCs w:val="17"/>
                <w:color w:val="auto"/>
              </w:rPr>
              <w:t>Weighted average common shares outstanding – basic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52,435,601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50,559,636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52,168,853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49,754,449</w:t>
            </w: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6"/>
              </w:rPr>
              <w:t>Net income per share attributable to common stockholders – basic:</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Numerator: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 – diluted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 average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52,435,601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50,559,636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52,168,853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49,754,449</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7"/>
                <w:szCs w:val="17"/>
                <w:color w:val="auto"/>
              </w:rPr>
              <w:t>Options to purchase common stock</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4,489,223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5,864,634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4,700,898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6,739,481</w:t>
            </w: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Restricted stock</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23,222</w:t>
            </w:r>
          </w:p>
        </w:tc>
        <w:tc>
          <w:tcPr>
            <w:tcW w:w="0" w:type="dxa"/>
            <w:vAlign w:val="bottom"/>
          </w:tcPr>
          <w:p>
            <w:pPr>
              <w:spacing w:after="0"/>
              <w:rPr>
                <w:sz w:val="1"/>
                <w:szCs w:val="1"/>
                <w:color w:val="auto"/>
              </w:rPr>
            </w:pPr>
          </w:p>
        </w:tc>
      </w:tr>
      <w:tr>
        <w:trPr>
          <w:trHeight w:val="226"/>
        </w:trPr>
        <w:tc>
          <w:tcPr>
            <w:tcW w:w="5240" w:type="dxa"/>
            <w:vAlign w:val="bottom"/>
          </w:tcPr>
          <w:p>
            <w:pPr>
              <w:ind w:left="140"/>
              <w:spacing w:after="0"/>
              <w:rPr>
                <w:sz w:val="20"/>
                <w:szCs w:val="20"/>
                <w:color w:val="auto"/>
              </w:rPr>
            </w:pPr>
            <w:r>
              <w:rPr>
                <w:rFonts w:ascii="Arial" w:cs="Arial" w:eastAsia="Arial" w:hAnsi="Arial"/>
                <w:sz w:val="17"/>
                <w:szCs w:val="17"/>
                <w:color w:val="auto"/>
              </w:rPr>
              <w:t>Employee stock purchase plan shares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58,715</w:t>
            </w:r>
          </w:p>
        </w:tc>
        <w:tc>
          <w:tcPr>
            <w:tcW w:w="0" w:type="dxa"/>
            <w:vAlign w:val="bottom"/>
          </w:tcPr>
          <w:p>
            <w:pPr>
              <w:spacing w:after="0"/>
              <w:rPr>
                <w:sz w:val="1"/>
                <w:szCs w:val="1"/>
                <w:color w:val="auto"/>
              </w:rPr>
            </w:pPr>
          </w:p>
        </w:tc>
      </w:tr>
      <w:tr>
        <w:trPr>
          <w:trHeight w:val="31"/>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 average shares outstanding – diluted</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56,944,230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56,498,891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56,895,162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56,575,867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7"/>
                <w:szCs w:val="17"/>
                <w:color w:val="auto"/>
                <w:w w:val="97"/>
              </w:rPr>
              <w:t>Net income per share attributable to common stockholders – diluted</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3"/>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960" w:type="dxa"/>
            <w:vAlign w:val="bottom"/>
            <w:gridSpan w:val="3"/>
          </w:tcPr>
          <w:p>
            <w:pPr>
              <w:jc w:val="right"/>
              <w:ind w:right="317"/>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52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142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24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1,059,602</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892,639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1,008,066</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668,294</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420" w:type="dxa"/>
            <w:vAlign w:val="bottom"/>
          </w:tcPr>
          <w:p>
            <w:pPr>
              <w:jc w:val="right"/>
              <w:spacing w:after="0"/>
              <w:rPr>
                <w:sz w:val="20"/>
                <w:szCs w:val="20"/>
                <w:color w:val="auto"/>
              </w:rPr>
            </w:pPr>
            <w:r>
              <w:rPr>
                <w:rFonts w:ascii="Arial" w:cs="Arial" w:eastAsia="Arial" w:hAnsi="Arial"/>
                <w:sz w:val="17"/>
                <w:szCs w:val="17"/>
                <w:color w:val="auto"/>
              </w:rPr>
              <w:t>1,284,870</w:t>
            </w: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1,095,729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133,539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66,142</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0"/>
        </w:trPr>
        <w:tc>
          <w:tcPr>
            <w:tcW w:w="5240" w:type="dxa"/>
            <w:vAlign w:val="bottom"/>
          </w:tcPr>
          <w:p>
            <w:pPr>
              <w:ind w:left="140"/>
              <w:spacing w:after="0"/>
              <w:rPr>
                <w:sz w:val="20"/>
                <w:szCs w:val="20"/>
                <w:color w:val="auto"/>
              </w:rPr>
            </w:pPr>
            <w:r>
              <w:rPr>
                <w:rFonts w:ascii="Arial" w:cs="Arial" w:eastAsia="Arial" w:hAnsi="Arial"/>
                <w:sz w:val="17"/>
                <w:szCs w:val="17"/>
                <w:color w:val="auto"/>
              </w:rPr>
              <w:t>Total excludable from net income per share attributable to common</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2,478,011</w:t>
            </w:r>
          </w:p>
        </w:tc>
        <w:tc>
          <w:tcPr>
            <w:tcW w:w="100" w:type="dxa"/>
            <w:vAlign w:val="bottom"/>
          </w:tcPr>
          <w:p>
            <w:pPr>
              <w:spacing w:after="0"/>
              <w:rPr>
                <w:sz w:val="24"/>
                <w:szCs w:val="24"/>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892,639</w:t>
            </w:r>
          </w:p>
        </w:tc>
        <w:tc>
          <w:tcPr>
            <w:tcW w:w="100" w:type="dxa"/>
            <w:vAlign w:val="bottom"/>
          </w:tcPr>
          <w:p>
            <w:pPr>
              <w:spacing w:after="0"/>
              <w:rPr>
                <w:sz w:val="24"/>
                <w:szCs w:val="24"/>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2,169,937</w:t>
            </w:r>
          </w:p>
        </w:tc>
        <w:tc>
          <w:tcPr>
            <w:tcW w:w="80" w:type="dxa"/>
            <w:vAlign w:val="bottom"/>
          </w:tcPr>
          <w:p>
            <w:pPr>
              <w:spacing w:after="0"/>
              <w:rPr>
                <w:sz w:val="24"/>
                <w:szCs w:val="24"/>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668,294</w:t>
            </w:r>
          </w:p>
        </w:tc>
        <w:tc>
          <w:tcPr>
            <w:tcW w:w="0" w:type="dxa"/>
            <w:vAlign w:val="bottom"/>
          </w:tcPr>
          <w:p>
            <w:pPr>
              <w:spacing w:after="0"/>
              <w:rPr>
                <w:sz w:val="1"/>
                <w:szCs w:val="1"/>
                <w:color w:val="auto"/>
              </w:rPr>
            </w:pPr>
          </w:p>
        </w:tc>
      </w:tr>
      <w:tr>
        <w:trPr>
          <w:trHeight w:val="223"/>
        </w:trPr>
        <w:tc>
          <w:tcPr>
            <w:tcW w:w="5240" w:type="dxa"/>
            <w:vAlign w:val="bottom"/>
          </w:tcPr>
          <w:p>
            <w:pPr>
              <w:ind w:left="300"/>
              <w:spacing w:after="0"/>
              <w:rPr>
                <w:sz w:val="20"/>
                <w:szCs w:val="20"/>
                <w:color w:val="auto"/>
              </w:rPr>
            </w:pPr>
            <w:r>
              <w:rPr>
                <w:rFonts w:ascii="Arial" w:cs="Arial" w:eastAsia="Arial" w:hAnsi="Arial"/>
                <w:sz w:val="17"/>
                <w:szCs w:val="17"/>
                <w:color w:val="auto"/>
              </w:rPr>
              <w:t>stockholders – diluted</w:t>
            </w: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pretax income and adjusts the provision for discrete tax items recorded in the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a provision for income taxes of $1.4 million and $0.8 million for the three months ended September 30, 2022 and 2021, respectively, and $4.7 million and $2.7 million for the nine months ended September 30, 2022 and 2021, respectively.</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effective income tax rate was 30% and 6% for the three months ended September 30, 2022 and 2021, respectively, and 23% and 9% for the nine months ended September 30, 2022 and 2021, respectively. The income tax provision for the nine months ended September 30, 2022 is related to an increase in nondeductible stock-based compensation, Section 162(m) limitation on the tax deductibility of officers compensation, state taxes and global intangible low-taxed income (GILTI) inclusion offset by deductions for equity awards, tax benefit from foreign-derived intangible income (FDII), foreign tax credits, federal and state research credits, and other effects created by the capitalization and amortization of R&amp;D expenses for tax purposes starting on January 1, 2022, which was primarily due to a change in Section 174 of the Tax Cuts and Jobs Act of 2017.</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 by geographic area based on the publisher’s billing address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40,780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93,935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EMEA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16,525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41,306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64,500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long-lived assets, net, which consist primarily of property and equipment and operating lease right-of-use assets, by geographic area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63,015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8,738</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401(k) Plan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$0.9 million in matching contribution to the 401(k) Plan for the nine months ended September 30, 2022 and no matching contribution for the nine months ended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October 17, 2022, the Company entered into a Senior Secured Credit Facilities Credit Agreement (the “Credit Agreement”) with the several lenders parties thereto (the “Lenders”), and Silicon Valley Bank, as administrative agent, lead arranger, issuing lender, and swingline lender.</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Credit Agreement provides a revolving credit facility in an aggregate principal amount of $110.0 million (“the Revolving Credit Facility”), including a $25.0 million letter of credit sub-facility and a $25.0 million swingline sub-facility.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Credit Agreement matures on October 17, 2027. In connection with the entry into the Credit Agreement, the Company’s existing Third Amended and Restated Loan and Security Agreement, as amended, dated as of November 7, 2017 (the “Existing Credit Agreement”) was terminated.</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contains customary representations and warranties as well as customary affirmative and negative covenants and customary events of default.</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may use amounts borrowed under the Credit Agreement to refinance the Existing Credit Agreement, for general corporate purposes or working capital financing. The Company may borrow additional amounts under the Credit Agreement from time to time as opportunities and needs arise.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2022, our platform efficiently processed approximately 491 billion ad impressions daily, each in a fraction of a second. As of September 30, 2022, we served approximately 1,600 publishers and app developers representing over 99,000 individual domains and apps worldwide on our platform across a diverse group of content verticals such as news, e-commerce, gaming, media, weather, fashion, technology, and more, including many of the leading digital companies such as Yahoo, formerly Verizon Media Group, and News Corp. We have demonstrated that we can retain and grow revenues from our publisher customers, as evidenced by our net dollar-based retention rate of 120% for the trailing twelve months ended September 30, 2022 and 157% for the trailing twelve months ended September 30, 2021.</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84"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On September 16, 2022, we acquired all outstanding stock of ConsultMates, Inc. (dba “Martin”), a media measurement and reporting platform, for $30.8 million. The acquisition is in response to growing demand from our buy-side customers for enhanced tools to take advantage of our global omnichannel inventory, including market-leading addressability solutions and innovative technology to enable supply path optimization. Our condensed consolidated results of operations for the three months ended September 30, 2022 include the operating results of Martin from the date of acquisition. For additional information, see Note 7, “Business Combination” to our condensed consolidated financial statements included elsewhere in this Quarterly Report on Form 10-Q.</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third quarter of 2022, mobile (including mobile video) and video (including OTT/CTV) combined comprised approximately 73% of our revenue. We anticipate mobile to continue increasing as a percentage of our total impressions and revenue in the future. We further expect video to constitute an increasingly important component of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Macroeconomic Factors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COVID-19 pandemic and its variants resulted, and may continue to result, in a global slowdown of economic activity across a broad variety of goods and services, including those provided by certain of the advertisers on our platform. This situation could also potentially limit our ad buyers’ budgets or disrupt sales channels and advertising and marketing activities generally. As new variants of COVID-19 emerge and global governments take a variety of approaches to limiting its spread, these disruptive effects may continue for an unknown period of time, with varied effects across markets. With the decline in economic activity, our revenue growth slowed and turned negative in the second quarter of 2020. Although our revenue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ongoing interest rate increases, foreign currency fluctuation and persistent inflation in the U.S. and other markets globally may increase the risk of economic volatility and dislocation in the capital or credit markets in the U.S. or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“Risk Factors” for further discussion of the risks related to the COVID-19 pandemic, inflation, rising interest rates, and foreign currency fluctuations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financial highlights of our business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39"/>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5"/>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
        </w:trPr>
        <w:tc>
          <w:tcPr>
            <w:tcW w:w="5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9,622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30,823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r>
      <w:tr>
        <w:trPr>
          <w:trHeight w:val="270"/>
        </w:trPr>
        <w:tc>
          <w:tcPr>
            <w:tcW w:w="5040" w:type="dxa"/>
            <w:vAlign w:val="bottom"/>
          </w:tcPr>
          <w:p>
            <w:pPr>
              <w:ind w:left="2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8"/>
                <w:szCs w:val="28"/>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25,331</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65,386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57,352</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60,202</w:t>
            </w: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8" w:lineRule="exact"/>
        <w:rPr>
          <w:sz w:val="20"/>
          <w:szCs w:val="20"/>
          <w:color w:val="auto"/>
        </w:rPr>
      </w:pPr>
    </w:p>
    <w:p>
      <w:pPr>
        <w:ind w:left="660" w:hanging="328"/>
        <w:spacing w:after="0" w:line="29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a definition of Adjusted EBITDA, an explanation of our management’s use of this measure, and a reconciliation of Adjusted EBITDA to net income, see “Non-GAAP Financial Measure.”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42.1 trillion and 23.9 trillion for the three months ended September 30,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485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120% for the trailing twelve months ended September 30, 2022 and 157% for the trailing twelve months ended September 30, 2021.</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unrealized loss and impairment of equity investment, interest income, acquisition-related and other expenses, and provision for income taxes.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4"/>
        </w:trPr>
        <w:tc>
          <w:tcPr>
            <w:tcW w:w="5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9"/>
                <w:szCs w:val="19"/>
                <w:color w:val="auto"/>
              </w:rPr>
            </w:pPr>
          </w:p>
        </w:tc>
      </w:tr>
      <w:tr>
        <w:trPr>
          <w:trHeight w:val="39"/>
        </w:trPr>
        <w:tc>
          <w:tcPr>
            <w:tcW w:w="50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15,992</w:t>
            </w: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loss and impairment of equity investment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6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Acquisition-related and other expenses </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7"/>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25,331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64" w:lineRule="exact"/>
        <w:rPr>
          <w:sz w:val="20"/>
          <w:szCs w:val="20"/>
          <w:color w:val="auto"/>
        </w:rPr>
      </w:pPr>
    </w:p>
    <w:p>
      <w:pPr>
        <w:jc w:val="both"/>
        <w:ind w:left="660" w:hanging="328"/>
        <w:spacing w:after="0" w:line="30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Other expenses incurred in connection with our acquisition of Martin include post-acquisition cash compensation arrangements for certain key acquired employees to be paid ratably over three years following the closing of the acquisition (subject to forfeiture upon termination). For additional information, see Note 7, “Business Combination” to our condensed consolidated financial statements included elsewhere in this Quarterly Report on Form 10-Q.</w:t>
      </w:r>
    </w:p>
    <w:p>
      <w:pPr>
        <w:spacing w:after="0" w:line="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87" w:lineRule="exact"/>
        <w:rPr>
          <w:sz w:val="20"/>
          <w:szCs w:val="20"/>
          <w:color w:val="auto"/>
        </w:rPr>
      </w:pPr>
    </w:p>
    <w:p>
      <w:pPr>
        <w:ind w:right="2700" w:firstLine="324"/>
        <w:spacing w:after="0" w:line="406" w:lineRule="auto"/>
        <w:rPr>
          <w:sz w:val="20"/>
          <w:szCs w:val="20"/>
          <w:color w:val="auto"/>
        </w:rPr>
      </w:pPr>
      <w:r>
        <w:rPr>
          <w:rFonts w:ascii="Arial" w:cs="Arial" w:eastAsia="Arial" w:hAnsi="Arial"/>
          <w:sz w:val="18"/>
          <w:szCs w:val="18"/>
          <w:color w:val="auto"/>
        </w:rPr>
        <w:t xml:space="preserve">Our revenue recognition policies are discussed in more detail under “Critical Accounting Policies and Estimates.” </w:t>
      </w:r>
      <w:r>
        <w:rPr>
          <w:rFonts w:ascii="Arial" w:cs="Arial" w:eastAsia="Arial" w:hAnsi="Arial"/>
          <w:sz w:val="18"/>
          <w:szCs w:val="18"/>
          <w:b w:val="1"/>
          <w:bCs w:val="1"/>
          <w:i w:val="1"/>
          <w:iCs w:val="1"/>
          <w:color w:val="auto"/>
        </w:rPr>
        <w:t>Cost of Revenue</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of personnel costs, including salaries, bonuses, stock-based compensation,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 required for internal controls. As a result, we expect general and administrative expenses to increase in absolute dollars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other income (expense), net consists of interest income, unrealized gain (loss) on equity investment and other income (expense), net. Interest income is generated by investing excess cash into money market accounts and marketable securities. Unrealized gain (loss) on equity investment consists of losses on our investment in equity securities, including unrealized gains and losses from market price changes or impairment of securities we continue to hold. Other income (expense), net consists primarily of gains and losses from foreign currency exchange transactions.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and stock-based compensation.</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our condensed consolidated results of operations data and such data as a percentage of revenue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39"/>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64,500</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58,086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182,084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151,352</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8"/>
                <w:szCs w:val="28"/>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21,591</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41,408</w:t>
            </w:r>
          </w:p>
        </w:tc>
      </w:tr>
      <w:tr>
        <w:trPr>
          <w:trHeight w:val="237"/>
        </w:trPr>
        <w:tc>
          <w:tcPr>
            <w:tcW w:w="50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42,909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109,944</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0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Operating expenses</w:t>
            </w:r>
            <w:r>
              <w:rPr>
                <w:rFonts w:ascii="Arial" w:cs="Arial" w:eastAsia="Arial" w:hAnsi="Arial"/>
                <w:sz w:val="28"/>
                <w:szCs w:val="28"/>
                <w:color w:val="auto"/>
                <w:vertAlign w:val="superscript"/>
              </w:rPr>
              <w:t>(1)</w:t>
            </w:r>
            <w:r>
              <w:rPr>
                <w:rFonts w:ascii="Arial" w:cs="Arial" w:eastAsia="Arial" w:hAnsi="Arial"/>
                <w:sz w:val="18"/>
                <w:szCs w:val="18"/>
                <w:color w:val="auto"/>
              </w:rPr>
              <w: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16,087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41,790</w:t>
            </w: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12,120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25,593</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33,287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79,121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(4,898)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28,365</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6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Amounts include stock-based compensation before tax benefit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9"/>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82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4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39"/>
        </w:trPr>
        <w:tc>
          <w:tcPr>
            <w:tcW w:w="4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16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3,714</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8"/>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Pr>
          <w:p>
            <w:pPr>
              <w:spacing w:after="0"/>
              <w:rPr>
                <w:sz w:val="24"/>
                <w:szCs w:val="24"/>
                <w:color w:val="auto"/>
              </w:rPr>
            </w:pPr>
          </w:p>
        </w:tc>
        <w:tc>
          <w:tcPr>
            <w:tcW w:w="2820" w:type="dxa"/>
            <w:vAlign w:val="bottom"/>
            <w:gridSpan w:val="6"/>
          </w:tcPr>
          <w:p>
            <w:pPr>
              <w:jc w:val="right"/>
              <w:ind w:right="4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4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39"/>
        </w:trPr>
        <w:tc>
          <w:tcPr>
            <w:tcW w:w="4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6"/>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6"/>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9"/>
          </w:tcPr>
          <w:p>
            <w:pPr>
              <w:jc w:val="center"/>
              <w:ind w:right="660"/>
              <w:spacing w:after="0"/>
              <w:rPr>
                <w:sz w:val="20"/>
                <w:szCs w:val="20"/>
                <w:color w:val="auto"/>
              </w:rPr>
            </w:pPr>
            <w:r>
              <w:rPr>
                <w:rFonts w:ascii="Arial" w:cs="Arial" w:eastAsia="Arial" w:hAnsi="Arial"/>
                <w:sz w:val="14"/>
                <w:szCs w:val="14"/>
                <w:b w:val="1"/>
                <w:bCs w:val="1"/>
                <w:color w:val="auto"/>
                <w:w w:val="89"/>
              </w:rPr>
              <w:t>(as percentage of revenue)</w:t>
            </w:r>
          </w:p>
        </w:tc>
        <w:tc>
          <w:tcPr>
            <w:tcW w:w="240" w:type="dxa"/>
            <w:vAlign w:val="bottom"/>
          </w:tcPr>
          <w:p>
            <w:pPr>
              <w:spacing w:after="0"/>
              <w:rPr>
                <w:sz w:val="16"/>
                <w:szCs w:val="16"/>
                <w:color w:val="auto"/>
              </w:rPr>
            </w:pPr>
          </w:p>
        </w:tc>
        <w:tc>
          <w:tcPr>
            <w:tcW w:w="2820" w:type="dxa"/>
            <w:vAlign w:val="bottom"/>
            <w:gridSpan w:val="6"/>
          </w:tcPr>
          <w:p>
            <w:pPr>
              <w:jc w:val="right"/>
              <w:ind w:right="712"/>
              <w:spacing w:after="0"/>
              <w:rPr>
                <w:sz w:val="20"/>
                <w:szCs w:val="20"/>
                <w:color w:val="auto"/>
              </w:rPr>
            </w:pPr>
            <w:r>
              <w:rPr>
                <w:rFonts w:ascii="Arial" w:cs="Arial" w:eastAsia="Arial" w:hAnsi="Arial"/>
                <w:sz w:val="14"/>
                <w:szCs w:val="14"/>
                <w:b w:val="1"/>
                <w:bCs w:val="1"/>
                <w:color w:val="auto"/>
              </w:rPr>
              <w:t>(as percentage of revenue)</w:t>
            </w:r>
          </w:p>
        </w:tc>
      </w:tr>
      <w:tr>
        <w:trPr>
          <w:trHeight w:val="39"/>
        </w:trPr>
        <w:tc>
          <w:tcPr>
            <w:tcW w:w="4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27</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73</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r>
      <w:tr>
        <w:trPr>
          <w:trHeight w:val="243"/>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36"/>
        </w:trPr>
        <w:tc>
          <w:tcPr>
            <w:tcW w:w="47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53</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r>
      <w:tr>
        <w:trPr>
          <w:trHeight w:val="243"/>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64,500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58,086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16,020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42,909</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42,066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1"/>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182,084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151,352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58,557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41,408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123,527</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for the three months ended September 30, 2022 increased by $6.4 million, or 11%, compared to the three months ended September 30, 2021. Revenue for the nine months ended September 30, 2022 increased by $30.7 million, or 20%, compared to the nine months ended September 30, 2021. The growth in these periods was driven by increased impressions processed on our platform from both existing and new publishers.</w:t>
      </w:r>
    </w:p>
    <w:p>
      <w:pPr>
        <w:spacing w:after="0" w:line="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2022, we served approximately 1,600 publishers and app developers worldwide on our platform, which represented over 79,000 domains and 20,000 apps in total, compared to approximately 1,370 publishers and app developers worldwide, which represented approximately 64,000 domains and 33,000 apps in total as of September 30, 2021. For purposes of our publisher count, we aggregate multiple business accounts from separate divisions, segments or subsidiaries into a single “master” publisher based on our assessment of the related nature of the group.</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revenue to continue to grow for the remainder of 2022 with mobile and omnichannel video, which is the combination of short form video and OTT/CTV, as our primary growth drivers.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increased $5.6 million for the three months ended September 30, 2022 compared to the three months ended September 30, 2021, primarily due to a $2.5 million increase in depreciation of data center equipment and amortization of internal-use software, a $1.8 million increase in data centers costs, a $0.6 million increase in support and maintenance costs, and a $0.5 million increase in personnel costs as headcount increased. Overall, our cost of revenue per impression processed for the three months ended September 30, 2022 decreased by approximately 24% compared to the three months ended September 30, 2021.</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$17.1 million for the nine months ended September 30, 2022 compared to the nine months ended September 30, 2021, primarily due to a $7.2 million increase in depreciation of data center equipment and amortization of internal-use software, a $5.5 million increase in data center costs, a $0.5 million increase in professional fees, a $2.4 million increase in support and maintenance costs, and a $1.4 million increase in personnel costs as headcount increased.</w:t>
      </w:r>
    </w:p>
    <w:p>
      <w:pPr>
        <w:spacing w:after="0" w:line="79" w:lineRule="exact"/>
        <w:rPr>
          <w:sz w:val="20"/>
          <w:szCs w:val="20"/>
          <w:color w:val="auto"/>
        </w:rPr>
      </w:pPr>
    </w:p>
    <w:p>
      <w:pPr>
        <w:jc w:val="both"/>
        <w:ind w:firstLine="311"/>
        <w:spacing w:after="0" w:line="263" w:lineRule="auto"/>
        <w:rPr>
          <w:sz w:val="20"/>
          <w:szCs w:val="20"/>
          <w:color w:val="auto"/>
        </w:rPr>
      </w:pPr>
      <w:r>
        <w:rPr>
          <w:rFonts w:ascii="Arial" w:cs="Arial" w:eastAsia="Arial" w:hAnsi="Arial"/>
          <w:sz w:val="18"/>
          <w:szCs w:val="18"/>
          <w:color w:val="auto"/>
        </w:rPr>
        <w:t>Our gross margin of 67% for the three months ended September 30, 2022 decreased compared to 72% for the three months ended September 30, 2021, and our gross margin of 68% for the nine months ended September 30, 2022 decreased compared to 73% for the nine months ended September 30, 2021, primarily due to the timing of infrastructure investments.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 of revenue to be higher in 2022 compared to 2021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2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90"/>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5,080</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8 %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2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14,928</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8 %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technology and development costs for the three months ended September 30, 2022 was primarily due to an increase of $1.2 million in personnel costs as headcount increased, and a $0.6 million increase in facilities costs, partially offset by an increase of $0.9 million related to the capitalization of internal-use software.</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technology and development costs for the nine months ended September 30, 2022 was primarily due to an increase of $5.3 million in personnel costs as headcount increased, a $1.3 million increase in facilities costs, mainly due to new office space, partially offset by an increase of $3.1 million related to the capitalization of internal-use software and $0.4 million decrease in professional services utilized.</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technology and development expenses to continue to increase in 2022 compared to 2021 in absolute dollars, primarily due to investment in technological innovation and additional headcount.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2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16,087</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25 %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2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50,755</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41,790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28 %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Sales and marketing costs for the three months ended September 30, 2022 increased primarily due to a $0.2 million increase in personnel costs, a $0.6 million increase in facilities costs mainly due to new office space, and a $0.2 million increase in travel expenses.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costs for the nine months ended September 30, 2022 increased primarily due to a $5.0 million increase in personnel costs as headcount increased and higher stock-based compensation, a $1.8 million increase in facilities costs, mainly due to new office space, and a $1.9 million increase in marketing and travel expenses.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sales and marketing expenses to increase in 2022 compared to 2021 in absolute dollars primarily due to additional headcount investment and marketing programs.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90"/>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rPr>
              <w:t>12,120</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rPr>
              <w:t>33,847</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25,593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19 %</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 increased for the three months ended September 30, 2022 primarily due to a $1.4 million increase in personnel costs associated with an increase in headcount and higher stock-based compensation costs, a $0.4 million increase in facilities costs, mainly due to new office space, a $0.9 million increase in professional services composed primarily of acquisition expenses, and a $0.3 million increase in taxes and fees.</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 increased for the nine months ended September 30, 2022 primarily due to a $4.4 million increase in personnel costs associated with an increase in headcount and higher stock-based compensation costs, a $1.3 million increase in facilities costs, mainly due to new office space, a $1.9 million increase in professional services composed primarily of acquisition expenses, and a $0.4 million increase in taxes and fees.</w:t>
      </w:r>
    </w:p>
    <w:p>
      <w:pPr>
        <w:spacing w:after="0" w:line="41" w:lineRule="exact"/>
        <w:rPr>
          <w:sz w:val="20"/>
          <w:szCs w:val="20"/>
          <w:color w:val="auto"/>
        </w:rPr>
      </w:pPr>
    </w:p>
    <w:p>
      <w:pPr>
        <w:ind w:right="320" w:firstLine="324"/>
        <w:spacing w:after="0" w:line="402" w:lineRule="auto"/>
        <w:rPr>
          <w:sz w:val="20"/>
          <w:szCs w:val="20"/>
          <w:color w:val="auto"/>
        </w:rPr>
      </w:pPr>
      <w:r>
        <w:rPr>
          <w:rFonts w:ascii="Arial" w:cs="Arial" w:eastAsia="Arial" w:hAnsi="Arial"/>
          <w:sz w:val="18"/>
          <w:szCs w:val="18"/>
          <w:color w:val="auto"/>
        </w:rPr>
        <w:t xml:space="preserve">We expect general and administrative expenses to increase in 2022 compared to 2021 in absolute dollars primarily due to the additional headcount. </w:t>
      </w:r>
      <w:r>
        <w:rPr>
          <w:rFonts w:ascii="Arial" w:cs="Arial" w:eastAsia="Arial" w:hAnsi="Arial"/>
          <w:sz w:val="18"/>
          <w:szCs w:val="18"/>
          <w:b w:val="1"/>
          <w:bCs w:val="1"/>
          <w:i w:val="1"/>
          <w:iCs w:val="1"/>
          <w:color w:val="auto"/>
        </w:rPr>
        <w:t>Total Other Income (Expense), net</w:t>
      </w: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407"/>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other income (expense), net increased for the three months ended September 30, 2022 and for the nine months ended September 30, 2022 compared to the prior year period, as a result of impairment related to our equity investment and due to currency fluctuations.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1,398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420"/>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4,728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difference between the effective tax rate for the three months ended September 30, 2022 of 30% and the federal statutory income tax rate of 21% was related to an increase in nondeductible stock-based compensation, Section 162(m) limitation, state taxes, global intangible low-taxed income (“GILTI”) inclusion, and a higher tax rate in certain foreign countries where the Company operates, partially offset by tax deductions for equity awards, foreign derived intangible income (“FDII”) deduction, foreign tax credits, and federal and state research credits.The effective income tax rate was 6% for the three months ended September 30, 2021 primarily due to excess tax benefits from stock-based compensation.</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difference between the effective tax rate for the nine months ended September 30, 2022 of 23% and the federal statutory income tax rate of 21% was primarily due to nondeductible stock-based compensation and executive compensation, a higher tax rate in certain foreign countries where the Company operates, partially offset by tax deductions for equity awards, foreign derived intangible income deduction, foreign tax credits, and federal and state research credits. The effective income tax rate was 9% for the nine months ended September 30, 2021 primarily due to excess benefit from stock-based compensation which reduced the effective tax rate in 2021.</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financed our operations and capital expenditures primarily through utilization of cash generated from operations, as well as sales of equity securities and borrowings under our credit facilities. As of September 30, 2022, we had cash, cash equivalents, and marketable securities of $166.1 million and net working capital, consisting of current assets less current liabilities, of $179.3 million. As of September 30, 2022, we had retained earnings of $115.2 million.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uses of cash are funding our operations and other working capital requirements.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the duration and severity of the COVID-19 pandemic and its impact on buyers and sellers and those set forth under “Risk Factors.” As of September 30, 2022, our material cash requirements included the contractual commitments set forth under “Contractual Obligations and Future Cash Requirements.”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2022, the amount available to borrow under the Loan Agreement was the lesser of $25.0 million or 80% of eligible accounts receivable less certain reserves, minus the aggregate principal amount of all outstanding advances. Interest accrued on advances under the revolving line of credit at a variable rate equal to the greater of prime rate or 3.25%. For any quarter where the average closing outstanding balance under the Loan Agreement was less than $5.0 million, a fee for such unused capacity in the amount of 0.40% per annum of the average unused portion was charged, payable in arrears. As of September 30, 2022, the applicable interest rate under the Loan Agreement was 6.25%. In June 2021, we amended the Loan Agreement to extend its maturity date to June 6, 2024. As of September 30, 2022, there were no outstanding borrowings under the Loan Agreement, and we were in compliance with all covenants.</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17, 2022, we entered into a Senior Secured Credit Facilities Credit Agreement (the “Credit Agreement”) with the several lenders parties thereto, and Silicon Valley Bank, as administrative agent, lead arranger, issuing lender, and swingline lender. The Credit Agreement provides a revolving credit facility in an aggregate principal amount of $110.0 million (“the Revolving Credit Facility”), including a $25.0 million letter of credit sub-facility and a $25.0 million swingline sub-facility.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obligations under the Credit Agreement are secured by substantially all of our assets. The Credit Agreement matures on October 17, 2027. In connection with our entry into the Credit Agreement, the Loan Agreement was repaid in full and terminated.</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Borrowings under the Revolving Credit Facility will accrue interest at rates equal, at our election, to (i) the adjusted term secured overnight financing rate (“SOFR”), which is defined as (a) the applicable term SOFR plus (b) a term SOFR adjustment equal to 0.20% per annum,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the entry into the Credit Agreement, the existing Loan Agreement described above was terminated. For additional information, see Note 14, “Subsequent Event” to our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(101,556)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(57,119)</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2022, net cash provided by operating activities of $67.9 million resulted primarily from net income of $15.9 million, adjustments for non-cash expenses of $45.0 million, including $23.6 million for depreciation and amortization and $15.2 million for stock-based compensation, lease expense of $4.3 million, and a decrease in accounts receivable of $12.6 million, partially offset by a decrease in accrued liabilities of $4.8 million.</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2021, net cash provided by operating activities of $60.2 million resulted primarily from net income of $28.4 million, adjustments for non-cash expenses of $29.2 million, including $16.0 million for depreciation and amortization and $10.5 million for stock-based compensation, an increase in accounts payable of $16.6 million, partially offset by an increase in accounts receivable of $8.9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2022, we used $101.6 million of cash in investing activities, consisting of $27.0 million in purchases of property and equipment (primarily data center infrastructure), $9.6 million of investments in capitalized internal-use software, $28.1 million for the Martin acquisition, and a net increase in investments of marketable securities of $36.9 million.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we used $57.1 million of cash in investing activities, consisting of $22.8 million in purchases of property and equipment (primarily data center infrastructure), $6.8 million of investments in capitalized internal-use software and a net increase in investments of marketable securities of $27.5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ended September 30, 2022, net cash provided by financing activities of $3.4 million was primarily due to proceeds from our employee stock purchase plan.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net cash provided by financing activities of $5.1 million was primarily due to $2.6 million proceeds from our employee stock purchase plan, $3.3 million proceeds from exercise of stock options, partially offset by $0.8 million from the payment of offering costs from our IPO.</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September 30,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
        </w:trPr>
        <w:tc>
          <w:tcPr>
            <w:tcW w:w="35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4"/>
        </w:trPr>
        <w:tc>
          <w:tcPr>
            <w:tcW w:w="3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6"/>
                <w:szCs w:val="16"/>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More than 5 years</w:t>
            </w:r>
          </w:p>
        </w:tc>
      </w:tr>
      <w:tr>
        <w:trPr>
          <w:trHeight w:val="39"/>
        </w:trPr>
        <w:tc>
          <w:tcPr>
            <w:tcW w:w="3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3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September 30, 2022, we had $1.8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estimates and assumptions associated with the evaluation of revenue recognition criteria, including the determination of revenue reporting as net versus gross in our revenue arrangements, as well as internal-use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 audited consolidated financial statements and notes thereto for the year ended December 31, 2021 included in our Annual Report on Form 10-K, except for those policies relating to business combinations, acquisition-related intangible assets, and impairment of equity investment as described in Note 2, “Basis of Presentation and Summary of Significant Accounting Policies,” to our condensed consolidated financial statements included elsewhere in this Quarterly Report on Form 10-Q.</w:t>
      </w:r>
    </w:p>
    <w:p>
      <w:pPr>
        <w:spacing w:after="0" w:line="45" w:lineRule="exact"/>
        <w:rPr>
          <w:sz w:val="20"/>
          <w:szCs w:val="20"/>
          <w:color w:val="auto"/>
        </w:rPr>
      </w:pPr>
    </w:p>
    <w:p>
      <w:pPr>
        <w:ind w:right="600" w:firstLine="324"/>
        <w:spacing w:after="0" w:line="360"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jc w:val="both"/>
        <w:ind w:firstLine="324"/>
        <w:spacing w:after="0" w:line="286" w:lineRule="auto"/>
        <w:rPr>
          <w:sz w:val="20"/>
          <w:szCs w:val="20"/>
          <w:color w:val="auto"/>
        </w:rPr>
      </w:pPr>
      <w:r>
        <w:rPr>
          <w:rFonts w:ascii="Arial" w:cs="Arial" w:eastAsia="Arial" w:hAnsi="Arial"/>
          <w:sz w:val="17"/>
          <w:szCs w:val="17"/>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had cash and cash equivalents of $52.2 million and marketable securities of $113.9 million as of September 30, 2022,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September 30, 2022.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$1.2 million in our operating income for the nine months ended September 30, 2022. A hypothetical 10% change in the U.S. Dollar to British Pound exchange rate could result in a change of $1.1 million in our operating income for the nine months ended September 30, 2022.</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September 30, 2022. Based on such evaluation, our principal executive officer and principal financial officer have concluded that, as of such date, our disclosure controls and procedures were effective at a reasonable assurance level.</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September 30, 2022 that has materially affected, or is reasonably likely to materially affect, our internal control over financial reporting.</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8, “Commitments and Contingencies,” to our condensed consolidated financial statements included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and results of operations are highly dependent on the overall demand for advertising.</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and may not meet our expectations or those of securities analysts and investors.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must scale our platform infrastructure to support anticipated growth and transaction volume. If we fail to do so, we may limit our ability to process ad impressions, and we may lose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recently completed acquisition of Martin presents risks and we must successfully integrate the Martin business to realize the strategic and financial goals that we currently anticipate.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ad formats and digital device types develop in ways that prevent advertisements from being delivered to consumers, our business, results of operations, and financial condition generally, will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our ability to retain key members of our management team, and on our ability to hire, train, retain, and motivate new employees.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international operations subject us to additional costs and risks, and our continued international expansion may not be successful.</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depend on third-party data centers, the disruption of which could adversely affect our business, results of operations, and financial condition.</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software platform could be susceptible to errors, defects, or unintended performance problems that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constantly evolving laws, regulations and industry requirements related to data privacy, data protection, information security, and consumer protection across the markets we operate in.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our ability to produce accurate financial statements and other disclosures on a timely basis could be impaired.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Results of Operations and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In addition, the conflict in Ukraine could cause unpredictable economic effects in Europe, including potentially softening general consumer demand. Various macroeconomic factors could cause advertisers to reduce their advertising budgets, including inflation;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nine months ended September 30, 2022 and 2021, 13% and 18%,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as a result of changes in the macroeconomic environment, as a result of inflation, changes in interest rates or foreign exchange rates, or otherwise;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expanding our business internationally;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make the right investment decisions in our platform, or if we fail to innovate and develop new solutions that are adopted by publishers, we may not attract and retain publishers, which could adversely affect our business, results of operations, and financial condition.</w:t>
      </w:r>
    </w:p>
    <w:p>
      <w:pPr>
        <w:spacing w:after="0" w:line="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COVID-19 pandemic, including its variants,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A recession, depression, or other sustained adverse market events resulting from the spread of COVID-19 could adversely affect our business, results of operations, and financial condition, as well as the value of our common stock.</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worked remotely during the peak of the pandemic, and, more recently, many continue to work on a remote or hybrid basis.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our hybrid workforce, any of which could adversely affect our business, results of operations, and financial condition.</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recently completed acquisition of Martin presents risks and we must successfully integrate the Martin business to realize the strategic and financial goals that we currently anticipate.</w:t>
      </w:r>
    </w:p>
    <w:p>
      <w:pPr>
        <w:spacing w:after="0" w:line="6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Risks we may face in connection with our acquisition of ConsultMates, Inc. (dba “Martin”), and its integration into our business and operations include:</w:t>
      </w:r>
    </w:p>
    <w:p>
      <w:pPr>
        <w:spacing w:after="0" w:line="2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realize the revenue or other economic benefits and synergies we expect to receive from the transaction;</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difficulties integrating and managing Martin’s SPO products and technology, as well as business relationships, or retaining key personnel from Martin;</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may not further our business strategy as we expected or we may otherwise not realize our expected return on investment, which could adversely affect our business or operating results;</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Martin’s existing privacy and information security systems and related infrastructure may require additional investments of time and resources in order to scale and, as necessary, to integrate into our platform or to be developed to appropriate standards;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Martin’s management and compliance functions and processes may require significant investments of time and resources in order to support its current and anticipated future product offerings, to scale and, as necessary, to integrate into our platform;</w:t>
      </w:r>
    </w:p>
    <w:p>
      <w:pPr>
        <w:spacing w:after="0" w:line="21"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(including tax liabilities) related to Martin’s business and the Martin acquisition including, among others, claims from U.S. or international regulatory or other governmental agencies, terminated employees, current or former customers or business partners, or other third parties; (ii) pre-existing contractual relationships of Martin that we would not have otherwise entered into, the termination or modification of which may be costly or disruptive to our business; (iii) unfavorable accounting treatment as a result of Martin’s practices; and (iv) intellectual property claims or disputes against Martin; and</w:t>
      </w:r>
    </w:p>
    <w:p>
      <w:pPr>
        <w:spacing w:after="0" w:line="27"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Martin has not been required to maintain an internal control infrastructure that would meet the standards of a public company, including the requirements of the Sarbanes-Oxley Act of 2002 (the “Sarbanes-Oxley Act”). The costs that we may incur to implement such controls and procedures may be substantial and we could encounter unexpected delays and challenges in this implementation. In addition, we may discover significant deficiencies or material weaknesses in Martin’s financial and disclosure controls and procedures.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Data Collection and the Use of Collected Data</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spacing w:after="0" w:line="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w:t>
      </w:r>
    </w:p>
    <w:p>
      <w:pPr>
        <w:spacing w:after="0" w:line="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the Advertising Industry and Competition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5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fluctuations or market changes in digital advertising activity could adversely affect our business, results of operations, and financial condition.</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retain key members of our management team, and on our ability to hire, train, retain, and motivate new employees.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inflation, and the COVID-19 pandemic and resulting economic impact, as certain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additional costs and risks, and our continued international expansion may not be successful.</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5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associated with maintaining effective controls at foreign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 including staffing difficulties;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anti-bribery laws and regulations, export and import control and economic sanctions, laws and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foreign data privacy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 including as a result of the conflict in Ukraine;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7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difficulty hiring and retaining engineering and management resources due to intense competition for such resources and resulting wage inflation;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exposure to changes in economic, health, security, and political conditions in India;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data centers, the disruption of which could adversely affect our business, results of operations, and financial condition.</w:t>
      </w:r>
    </w:p>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w:t>
      </w:r>
    </w:p>
    <w:p>
      <w:pPr>
        <w:spacing w:after="0" w:line="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 or service offerings, administrative systems, and personnel of acquired businesses;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in a timely manner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17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7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CCPA has encouraged “copycat” laws and in other states across the country. For example,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Similar laws have also been passed into law by Utah and Connecticut, and numerous other U.S. states in which we operate and the U.S. federal government are also considering privacy legislation.</w:t>
      </w:r>
    </w:p>
    <w:p>
      <w:pPr>
        <w:spacing w:after="0" w:line="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cannot yet fully predict the impact of such state laws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 including Brazil, Thailand, and Japan.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operating and financial covenants that may restrict our business and financing activities.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we had no outstanding borrowings under our loan and security agreement with Silicon Valley Bank (“SVB”). On October 17, 2022, we entered into a Senior Secured Credit Facilities Credit Agreement (the “Credit Agreement”) with the several lenders parties thereto, and SVB. Upon entering into the Credit Agreement, the loan and security agreement with SVB was terminated.</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changes could affect our effective tax rate and future profitability.</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subject to U.S. federal, state, local and sales taxes in the United States and foreign income taxes, withholding taxes and transaction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 For example, the United States tax law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use of net operating loss carryforwards.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Recently, in the United States, Congress and the Biden administration proposed legislation to make various tax law changes, including to increase U.S. taxation of international business operations and impose a global minimum tax. These proposals, recommendations and enactments include changes to the existing framework in respect of income taxes, limitations on the ability of taxpayers to claim and utilize foreign tax credits, as well as add new types of non-income taxes (such as taxes based on a percentage of revenue or taxes applicable to digital services).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79"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market price and trading volume of technology companies in general and of companies in the digital advertising industry in particular;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 or financial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or regulatory developments or actions, or litigation involving us, our industry, or both;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trends or catastrophic events in our domestic and foreign markets.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September 30, 2022, our directors and officers, and their respective affiliates, beneficially owned in the aggregate approximately 66%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76" w:lineRule="exact"/>
        <w:rPr>
          <w:sz w:val="20"/>
          <w:szCs w:val="20"/>
          <w:color w:val="auto"/>
        </w:rPr>
      </w:pPr>
    </w:p>
    <w:p>
      <w:pPr>
        <w:jc w:val="both"/>
        <w:ind w:left="660" w:hanging="328"/>
        <w:spacing w:after="0" w:line="263" w:lineRule="auto"/>
        <w:tabs>
          <w:tab w:leader="none" w:pos="7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meet the continued listing requirements of the Nasdaq Global Market, the Nasdaq may delist our Class A common stock.</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29, 2021, we received notification from the Nasdaq Global Market (“Nasdaq”) regarding our noncompliance with Nasdaq Listing Rule 5605(c)(2) (“Rule 5605”), which requires that our audit committee be comprised of a minimum of three independent directors. Our noncompliance occurred as the result of the passing of one of our directors, Narendra Gupta, who was one of the three members of our audit committee. On June 3, 2022, we appointed additional two additional independent directors to our audit committee, and on June 9, 2022, we received a letter from Nasdaq confirming that we had regained compliance with Rule 5605.</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in the future we are unable to maintain our listing on Nasdaq for any reason, it may become more difficult for our stockholders to sell our stock in the public market, and the price of our Class A common stock may be adversely affected due to the likelihood of decreased liquidity resulting from delisting.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6"/>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0"/>
        </w:trPr>
        <w:tc>
          <w:tcPr>
            <w:tcW w:w="10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980" w:type="dxa"/>
            <w:vAlign w:val="bottom"/>
            <w:gridSpan w:val="13"/>
          </w:tcPr>
          <w:p>
            <w:pPr>
              <w:spacing w:after="0"/>
              <w:rPr>
                <w:sz w:val="20"/>
                <w:szCs w:val="20"/>
                <w:color w:val="auto"/>
              </w:rPr>
            </w:pPr>
            <w:r>
              <w:rPr>
                <w:rFonts w:ascii="Arial" w:cs="Arial" w:eastAsia="Arial" w:hAnsi="Arial"/>
                <w:sz w:val="14"/>
                <w:szCs w:val="14"/>
                <w:b w:val="1"/>
                <w:bCs w:val="1"/>
                <w:color w:val="auto"/>
              </w:rPr>
              <w:t>Description of Document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File No.</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Filing 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3"/>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Agreement and Plan of Merger, dated as of September 14, 2022, by</w:t>
              </w:r>
            </w:hyperlink>
          </w:p>
        </w:tc>
        <w:tc>
          <w:tcPr>
            <w:tcW w:w="64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0"/>
                <w:szCs w:val="20"/>
                <w:color w:val="auto"/>
              </w:rPr>
            </w:pPr>
          </w:p>
        </w:tc>
        <w:tc>
          <w:tcPr>
            <w:tcW w:w="660" w:type="dxa"/>
            <w:vAlign w:val="bottom"/>
          </w:tcPr>
          <w:p>
            <w:pPr>
              <w:jc w:val="right"/>
              <w:ind w:right="139"/>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14, 2022</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and among the Registrant, Marlin Acquisition Sub, Inc., and</w:t>
              </w:r>
            </w:hyperlink>
          </w:p>
        </w:tc>
        <w:tc>
          <w:tcPr>
            <w:tcW w:w="500" w:type="dxa"/>
            <w:vAlign w:val="bottom"/>
            <w:tcBorders>
              <w:top w:val="single" w:sz="8" w:color="0000FF"/>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3"/>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ConsultMates, Inc.</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8"/>
              </w:rPr>
              <w:t>8-K</w:t>
            </w:r>
          </w:p>
        </w:tc>
        <w:tc>
          <w:tcPr>
            <w:tcW w:w="1000" w:type="dxa"/>
            <w:vAlign w:val="bottom"/>
            <w:vMerge w:val="restart"/>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line="20" w:lineRule="exact"/>
              <w:rPr>
                <w:sz w:val="1"/>
                <w:szCs w:val="1"/>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line="20" w:lineRule="exact"/>
              <w:rPr>
                <w:sz w:val="1"/>
                <w:szCs w:val="1"/>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89"/>
              </w:rPr>
              <w:t>October 17, 2022</w:t>
            </w: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Credit Agreement, dated as of October 17, 2022, by and among the</w:t>
              </w:r>
            </w:hyperlink>
          </w:p>
        </w:tc>
        <w:tc>
          <w:tcPr>
            <w:tcW w:w="64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Registrant, the lenders party thereto, and Silicon Valley Bank</w:t>
              </w:r>
            </w:hyperlink>
          </w:p>
        </w:tc>
        <w:tc>
          <w:tcPr>
            <w:tcW w:w="420" w:type="dxa"/>
            <w:vAlign w:val="bottom"/>
            <w:tcBorders>
              <w:top w:val="single" w:sz="8" w:color="0000FF"/>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Rules 13a-</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9"/>
              </w:rPr>
              <w:t>14(a) and 15d-14(a) under the Securities Exchange Act of 1934, as</w:t>
            </w:r>
          </w:p>
        </w:tc>
        <w:tc>
          <w:tcPr>
            <w:tcW w:w="16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w:t>
            </w:r>
          </w:p>
        </w:tc>
        <w:tc>
          <w:tcPr>
            <w:tcW w:w="5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Chief Financial Officer pursuant to Rules 13a-</w:t>
            </w:r>
          </w:p>
        </w:tc>
        <w:tc>
          <w:tcPr>
            <w:tcW w:w="4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9"/>
              </w:rPr>
              <w:t>14(a) and 15d-14(a) under the Securities Exchange Act of 1934, as</w:t>
            </w:r>
          </w:p>
        </w:tc>
        <w:tc>
          <w:tcPr>
            <w:tcW w:w="16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w:t>
            </w:r>
          </w:p>
        </w:tc>
        <w:tc>
          <w:tcPr>
            <w:tcW w:w="5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18 U.S.C.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0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Arial" w:cs="Arial" w:eastAsia="Arial" w:hAnsi="Arial"/>
                <w:sz w:val="18"/>
                <w:szCs w:val="18"/>
                <w:color w:val="0000FF"/>
                <w:w w:val="92"/>
              </w:rPr>
              <w:t>Section 1350, as adopted pursuant to Section 906 of the Sarbanes-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3360" w:type="dxa"/>
            <w:vAlign w:val="bottom"/>
            <w:tcBorders>
              <w:top w:val="single" w:sz="8" w:color="0000FF"/>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Certification of Chief Financial Officer pursuant to 18 U.S.C.</w:t>
            </w:r>
          </w:p>
        </w:tc>
        <w:tc>
          <w:tcPr>
            <w:tcW w:w="50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Arial" w:cs="Arial" w:eastAsia="Arial" w:hAnsi="Arial"/>
                <w:sz w:val="18"/>
                <w:szCs w:val="18"/>
                <w:color w:val="0000FF"/>
                <w:w w:val="92"/>
              </w:rPr>
              <w:t>Section 1350, as adopted pursuant to Section 906 of the Sarbanes-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3360" w:type="dxa"/>
            <w:vAlign w:val="bottom"/>
            <w:tcBorders>
              <w:top w:val="single" w:sz="8" w:color="0000FF"/>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7"/>
              </w:rPr>
              <w:t>Inline XBRL Instance Document — the instance document does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5"/>
              </w:rPr>
              <w:t>not appear in the Interactive Data File because its XBRL tags are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6"/>
              </w:rPr>
              <w:t>Inline XBRL Taxonomy Extension Definition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7"/>
              </w:rPr>
              <w:t>Cover Page Interactive Data File (formatted as Inline XBRL and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contained in Exhibit 101)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jc w:val="both"/>
        <w:ind w:firstLine="8"/>
        <w:spacing w:after="0" w:line="271" w:lineRule="auto"/>
        <w:tabs>
          <w:tab w:leader="none" w:pos="315" w:val="left"/>
        </w:tabs>
        <w:numPr>
          <w:ilvl w:val="0"/>
          <w:numId w:val="15"/>
        </w:numPr>
        <w:rPr>
          <w:rFonts w:ascii="Arial" w:cs="Arial" w:eastAsia="Arial" w:hAnsi="Arial"/>
          <w:sz w:val="14"/>
          <w:szCs w:val="14"/>
          <w:color w:val="auto"/>
        </w:rPr>
      </w:pPr>
      <w:r>
        <w:rPr>
          <w:rFonts w:ascii="Arial" w:cs="Arial" w:eastAsia="Arial" w:hAnsi="Arial"/>
          <w:sz w:val="16"/>
          <w:szCs w:val="16"/>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November 8, 2022</w:t>
      </w:r>
    </w:p>
    <w:p>
      <w:pPr>
        <w:spacing w:after="0" w:line="16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PUBMATIC, INC.</w:t>
      </w:r>
    </w:p>
    <w:p>
      <w:pPr>
        <w:spacing w:after="0" w:line="337" w:lineRule="exact"/>
        <w:rPr>
          <w:sz w:val="20"/>
          <w:szCs w:val="20"/>
          <w:color w:val="auto"/>
        </w:rPr>
      </w:pPr>
    </w:p>
    <w:p>
      <w:pPr>
        <w:ind w:left="5340"/>
        <w:spacing w:after="0"/>
        <w:tabs>
          <w:tab w:leader="none" w:pos="5800" w:val="left"/>
        </w:tabs>
        <w:rPr>
          <w:sz w:val="20"/>
          <w:szCs w:val="20"/>
          <w:color w:val="auto"/>
        </w:rPr>
      </w:pPr>
      <w:r>
        <w:rPr>
          <w:rFonts w:ascii="Arial" w:cs="Arial" w:eastAsia="Arial" w:hAnsi="Arial"/>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3454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Steven Pantelick</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233"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60" w:hanging="328"/>
        <w:spacing w:after="0" w:line="24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48"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 w:hanging="320"/>
        <w:spacing w:after="0" w:line="308" w:lineRule="auto"/>
        <w:tabs>
          <w:tab w:leader="none" w:pos="12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Rajeev K. Goel</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60" w:hanging="328"/>
        <w:spacing w:after="0" w:line="24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48"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 w:hanging="320"/>
        <w:spacing w:after="0" w:line="308" w:lineRule="auto"/>
        <w:tabs>
          <w:tab w:leader="none" w:pos="12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3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97" w:lineRule="exact"/>
        <w:rPr>
          <w:sz w:val="20"/>
          <w:szCs w:val="20"/>
          <w:color w:val="auto"/>
        </w:rPr>
      </w:pPr>
    </w:p>
    <w:p>
      <w:pPr>
        <w:jc w:val="center"/>
        <w:ind w:left="360" w:right="2140"/>
        <w:spacing w:after="0" w:line="263" w:lineRule="auto"/>
        <w:rPr>
          <w:sz w:val="20"/>
          <w:szCs w:val="20"/>
          <w:color w:val="auto"/>
        </w:rPr>
      </w:pPr>
      <w:r>
        <w:rPr>
          <w:rFonts w:ascii="Arial" w:cs="Arial" w:eastAsia="Arial" w:hAnsi="Arial"/>
          <w:sz w:val="18"/>
          <w:szCs w:val="18"/>
          <w:color w:val="auto"/>
        </w:rPr>
        <w:t>CERTIFICATION OF CHIEF EXECUTIVE OFFICER PURSUANT TO PURSUANT TO 18 U.S.C. SECTION 1350, AS ADOPTED PURSUANT TO 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95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97" w:lineRule="exact"/>
        <w:rPr>
          <w:sz w:val="20"/>
          <w:szCs w:val="20"/>
          <w:color w:val="auto"/>
        </w:rPr>
      </w:pPr>
    </w:p>
    <w:p>
      <w:pPr>
        <w:jc w:val="center"/>
        <w:ind w:left="360" w:right="2140"/>
        <w:spacing w:after="0" w:line="263" w:lineRule="auto"/>
        <w:rPr>
          <w:sz w:val="20"/>
          <w:szCs w:val="20"/>
          <w:color w:val="auto"/>
        </w:rPr>
      </w:pPr>
      <w:r>
        <w:rPr>
          <w:rFonts w:ascii="Arial" w:cs="Arial" w:eastAsia="Arial" w:hAnsi="Arial"/>
          <w:sz w:val="18"/>
          <w:szCs w:val="18"/>
          <w:color w:val="auto"/>
        </w:rPr>
        <w:t>CERTIFICATION OF CHIEF FINANCIAL OFFICER PURSUANT TO PURSUANT TO 18 U.S.C. SECTION 1350, 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Dated: November 8,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3" Type="http://schemas.openxmlformats.org/officeDocument/2006/relationships/hyperlink" Target="http://www.sec.gov/Archives/edgar/data/1422930/000142293022000045/exhibit21-mergeragreement.htm" TargetMode="External"/><Relationship Id="rId84" Type="http://schemas.openxmlformats.org/officeDocument/2006/relationships/hyperlink" Target="http://www.sec.gov/Archives/edgar/data/1422930/000142293022000048/ex101-svb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2022-11-08T15:52:18Z</dcterms:created>
  <dcterms:modified xsi:type="dcterms:W3CDTF">2022-11-08T15:52:18Z</dcterms:modified>
</cp:coreProperties>
</file>