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540385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80010</wp:posOffset>
            </wp:positionV>
            <wp:extent cx="29781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59690</wp:posOffset>
            </wp:positionV>
            <wp:extent cx="29781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4100" w:right="3920" w:hanging="4095"/>
        <w:spacing w:after="0" w:line="324" w:lineRule="auto"/>
        <w:tabs>
          <w:tab w:leader="none" w:pos="162"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from________to________</w:t>
      </w:r>
    </w:p>
    <w:p>
      <w:pPr>
        <w:ind w:left="45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83820</wp:posOffset>
            </wp:positionV>
            <wp:extent cx="29781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PUBMATIC, INC.</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55245</wp:posOffset>
            </wp:positionV>
            <wp:extent cx="29781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p>
      <w:pPr>
        <w:spacing w:after="0" w:line="187"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20-5863224</w:t>
      </w:r>
    </w:p>
    <w:p>
      <w:pPr>
        <w:spacing w:after="0" w:line="53" w:lineRule="exact"/>
        <w:rPr>
          <w:sz w:val="24"/>
          <w:szCs w:val="24"/>
          <w:color w:val="auto"/>
        </w:rPr>
      </w:pPr>
    </w:p>
    <w:p>
      <w:pPr>
        <w:sectPr>
          <w:pgSz w:w="11900" w:h="16838" w:orient="portrait"/>
          <w:cols w:equalWidth="0" w:num="2">
            <w:col w:w="7400" w:space="720"/>
            <w:col w:w="3160"/>
          </w:cols>
          <w:pgMar w:left="300" w:top="948" w:right="31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55" w:lineRule="exact"/>
        <w:rPr>
          <w:sz w:val="24"/>
          <w:szCs w:val="24"/>
          <w:color w:val="auto"/>
        </w:rPr>
      </w:pPr>
    </w:p>
    <w:p>
      <w:pPr>
        <w:sectPr>
          <w:pgSz w:w="11900" w:h="16838" w:orient="portrait"/>
          <w:cols w:equalWidth="0" w:num="2">
            <w:col w:w="6600" w:space="720"/>
            <w:col w:w="3960"/>
          </w:cols>
          <w:pgMar w:left="300" w:top="94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280"/>
          </w:cols>
          <w:pgMar w:left="300" w:top="948" w:right="319" w:bottom="1440" w:gutter="0" w:footer="0" w:header="0"/>
          <w:type w:val="continuous"/>
        </w:sectPr>
      </w:pPr>
    </w:p>
    <w:p>
      <w:pPr>
        <w:spacing w:after="0" w:line="74"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49" w:lineRule="exact"/>
        <w:rPr>
          <w:sz w:val="24"/>
          <w:szCs w:val="24"/>
          <w:color w:val="auto"/>
        </w:rPr>
      </w:pPr>
    </w:p>
    <w:p>
      <w:pPr>
        <w:sectPr>
          <w:pgSz w:w="11900" w:h="16838" w:orient="portrait"/>
          <w:cols w:equalWidth="0" w:num="3">
            <w:col w:w="4460" w:space="720"/>
            <w:col w:w="1640" w:space="720"/>
            <w:col w:w="3740"/>
          </w:cols>
          <w:pgMar w:left="300" w:top="948" w:right="319" w:bottom="1440" w:gutter="0" w:footer="0" w:header="0"/>
          <w:type w:val="continuous"/>
        </w:sectPr>
      </w:pPr>
    </w:p>
    <w:p>
      <w:pPr>
        <w:ind w:left="880"/>
        <w:spacing w:after="0"/>
        <w:tabs>
          <w:tab w:leader="none" w:pos="5400" w:val="left"/>
        </w:tabs>
        <w:rPr>
          <w:sz w:val="20"/>
          <w:szCs w:val="20"/>
          <w:color w:val="auto"/>
        </w:rPr>
      </w:pPr>
      <w:r>
        <w:rPr>
          <w:rFonts w:ascii="Times New Roman" w:cs="Times New Roman" w:eastAsia="Times New Roman" w:hAnsi="Times New Roman"/>
          <w:sz w:val="14"/>
          <w:szCs w:val="14"/>
          <w:b w:val="1"/>
          <w:bCs w:val="1"/>
          <w:color w:val="auto"/>
        </w:rPr>
        <w:t>Class A common stock, $0.0001 par value per share</w:t>
      </w:r>
      <w:r>
        <w:rPr>
          <w:sz w:val="20"/>
          <w:szCs w:val="20"/>
          <w:color w:val="auto"/>
        </w:rPr>
        <w:tab/>
      </w:r>
      <w:r>
        <w:rPr>
          <w:rFonts w:ascii="Times New Roman" w:cs="Times New Roman" w:eastAsia="Times New Roman" w:hAnsi="Times New Roman"/>
          <w:sz w:val="14"/>
          <w:szCs w:val="14"/>
          <w:b w:val="1"/>
          <w:bCs w:val="1"/>
          <w:color w:val="auto"/>
        </w:rPr>
        <w:t>PUBM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Global Market</w:t>
      </w:r>
    </w:p>
    <w:p>
      <w:pPr>
        <w:spacing w:after="0" w:line="136" w:lineRule="exact"/>
        <w:rPr>
          <w:sz w:val="24"/>
          <w:szCs w:val="24"/>
          <w:color w:val="auto"/>
        </w:rPr>
      </w:pPr>
    </w:p>
    <w:p>
      <w:pPr>
        <w:sectPr>
          <w:pgSz w:w="11900" w:h="16838" w:orient="portrait"/>
          <w:cols w:equalWidth="0" w:num="2">
            <w:col w:w="7300" w:space="720"/>
            <w:col w:w="3260"/>
          </w:cols>
          <w:pgMar w:left="300" w:top="948" w:right="319" w:bottom="1440" w:gutter="0" w:footer="0" w:header="0"/>
          <w:type w:val="continuous"/>
        </w:sectPr>
      </w:pPr>
    </w:p>
    <w:p>
      <w:pPr>
        <w:ind w:left="37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50" w:lineRule="exact"/>
        <w:rPr>
          <w:sz w:val="24"/>
          <w:szCs w:val="24"/>
          <w:color w:val="auto"/>
        </w:rPr>
      </w:pPr>
    </w:p>
    <w:p>
      <w:pPr>
        <w:ind w:right="4440"/>
        <w:spacing w:after="0" w:line="213"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66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Accelerated filer</w:t>
            </w:r>
          </w:p>
        </w:tc>
        <w:tc>
          <w:tcPr>
            <w:tcW w:w="1600" w:type="dxa"/>
            <w:vAlign w:val="bottom"/>
          </w:tcPr>
          <w:p>
            <w:pPr>
              <w:ind w:left="1480"/>
              <w:spacing w:after="0"/>
              <w:rPr>
                <w:sz w:val="20"/>
                <w:szCs w:val="20"/>
                <w:color w:val="auto"/>
              </w:rPr>
            </w:pPr>
            <w:r>
              <w:rPr>
                <w:rFonts w:ascii="Wingdings" w:cs="Wingdings" w:eastAsia="Wingdings" w:hAnsi="Wingdings"/>
                <w:sz w:val="13"/>
                <w:szCs w:val="13"/>
                <w:b w:val="1"/>
                <w:bCs w:val="1"/>
                <w:color w:val="auto"/>
                <w:w w:val="85"/>
              </w:rPr>
              <w:t>o</w:t>
            </w:r>
          </w:p>
        </w:tc>
      </w:tr>
      <w:tr>
        <w:trPr>
          <w:trHeight w:val="171"/>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660" w:type="dxa"/>
            <w:vAlign w:val="bottom"/>
          </w:tcPr>
          <w:p>
            <w:pPr>
              <w:ind w:left="460"/>
              <w:spacing w:after="0"/>
              <w:rPr>
                <w:sz w:val="20"/>
                <w:szCs w:val="20"/>
                <w:color w:val="auto"/>
              </w:rPr>
            </w:pPr>
            <w:r>
              <w:rPr>
                <w:rFonts w:ascii="Wingdings" w:cs="Wingdings" w:eastAsia="Wingdings" w:hAnsi="Wingdings"/>
                <w:sz w:val="13"/>
                <w:szCs w:val="13"/>
                <w:b w:val="1"/>
                <w:bCs w:val="1"/>
                <w:color w:val="auto"/>
              </w:rPr>
              <w:t>o</w:t>
            </w:r>
          </w:p>
        </w:tc>
        <w:tc>
          <w:tcPr>
            <w:tcW w:w="500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600" w:type="dxa"/>
            <w:vAlign w:val="bottom"/>
          </w:tcPr>
          <w:p>
            <w:pPr>
              <w:ind w:left="1480"/>
              <w:spacing w:after="0"/>
              <w:rPr>
                <w:sz w:val="20"/>
                <w:szCs w:val="20"/>
                <w:color w:val="auto"/>
              </w:rPr>
            </w:pPr>
            <w:r>
              <w:rPr>
                <w:rFonts w:ascii="Wingdings" w:cs="Wingdings" w:eastAsia="Wingdings" w:hAnsi="Wingdings"/>
                <w:sz w:val="13"/>
                <w:szCs w:val="13"/>
                <w:b w:val="1"/>
                <w:bCs w:val="1"/>
                <w:color w:val="auto"/>
                <w:w w:val="85"/>
              </w:rPr>
              <w:t>o</w:t>
            </w:r>
          </w:p>
        </w:tc>
      </w:tr>
      <w:tr>
        <w:trPr>
          <w:trHeight w:val="191"/>
        </w:trPr>
        <w:tc>
          <w:tcPr>
            <w:tcW w:w="1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600" w:type="dxa"/>
            <w:vAlign w:val="bottom"/>
          </w:tcPr>
          <w:p>
            <w:pPr>
              <w:ind w:left="148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89"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8"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19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8" w:lineRule="exact"/>
        <w:rPr>
          <w:sz w:val="24"/>
          <w:szCs w:val="24"/>
          <w:color w:val="auto"/>
        </w:rPr>
      </w:pPr>
    </w:p>
    <w:p>
      <w:pPr>
        <w:ind w:right="160"/>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9"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aggregate market value of common equity held by non-affiliates of the registrant as of June 28, 2024, based on the closing sales price for the registrant’s Class A common stock as of the last business day of the registrant’s most recently completed second fiscal quarter, as reported on the Nasdaq Global Market, was approximately $830.9 million. As of February 21, 2025, there were 40,324,790 shares of the registrant’s Class A common stock outstanding and 8,202,503 shares of the registrant’s Class B common stock outstanding.</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5" w:lineRule="exact"/>
        <w:rPr>
          <w:sz w:val="24"/>
          <w:szCs w:val="24"/>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Portions of the registrant’s proxy statement for its 2025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317500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20" w:type="dxa"/>
            <w:vAlign w:val="bottom"/>
            <w:gridSpan w:val="5"/>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5"/>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4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0"/>
        </w:trPr>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50"/>
        </w:trPr>
        <w:tc>
          <w:tcPr>
            <w:tcW w:w="2360" w:type="dxa"/>
            <w:vAlign w:val="bottom"/>
            <w:tcBorders>
              <w:bottom w:val="single" w:sz="8" w:color="0000FF"/>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FF"/>
              </w:rPr>
              <w:t>Note About Forward-Looking Statements</w:t>
            </w:r>
          </w:p>
        </w:tc>
        <w:tc>
          <w:tcPr>
            <w:tcW w:w="7960" w:type="dxa"/>
            <w:vAlign w:val="bottom"/>
            <w:gridSpan w:val="11"/>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50" w:lineRule="exact"/>
              <w:rPr>
                <w:sz w:val="20"/>
                <w:szCs w:val="20"/>
                <w:color w:val="auto"/>
              </w:rPr>
            </w:pPr>
            <w:r>
              <w:rPr>
                <w:rFonts w:ascii="Times New Roman" w:cs="Times New Roman" w:eastAsia="Times New Roman" w:hAnsi="Times New Roman"/>
                <w:sz w:val="14"/>
                <w:szCs w:val="14"/>
                <w:color w:val="0000FF"/>
              </w:rPr>
              <w:t>1</w:t>
            </w:r>
          </w:p>
        </w:tc>
        <w:tc>
          <w:tcPr>
            <w:tcW w:w="420" w:type="dxa"/>
            <w:vAlign w:val="bottom"/>
          </w:tcPr>
          <w:p>
            <w:pPr>
              <w:spacing w:after="0"/>
              <w:rPr>
                <w:sz w:val="13"/>
                <w:szCs w:val="13"/>
                <w:color w:val="auto"/>
              </w:rPr>
            </w:pPr>
          </w:p>
        </w:tc>
      </w:tr>
      <w:tr>
        <w:trPr>
          <w:trHeight w:val="192"/>
        </w:trPr>
        <w:tc>
          <w:tcPr>
            <w:tcW w:w="1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Market and Industry Data</w:t>
            </w:r>
          </w:p>
        </w:tc>
        <w:tc>
          <w:tcPr>
            <w:tcW w:w="8860" w:type="dxa"/>
            <w:vAlign w:val="bottom"/>
            <w:gridSpan w:val="18"/>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420" w:type="dxa"/>
            <w:vAlign w:val="bottom"/>
          </w:tcPr>
          <w:p>
            <w:pPr>
              <w:spacing w:after="0"/>
              <w:rPr>
                <w:sz w:val="16"/>
                <w:szCs w:val="16"/>
                <w:color w:val="auto"/>
              </w:rPr>
            </w:pPr>
          </w:p>
        </w:tc>
      </w:tr>
      <w:tr>
        <w:trPr>
          <w:trHeight w:val="192"/>
        </w:trPr>
        <w:tc>
          <w:tcPr>
            <w:tcW w:w="103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Summary of Risk Factors</w:t>
            </w:r>
          </w:p>
        </w:tc>
        <w:tc>
          <w:tcPr>
            <w:tcW w:w="520" w:type="dxa"/>
            <w:vAlign w:val="bottom"/>
            <w:gridSpan w:val="2"/>
          </w:tcPr>
          <w:p>
            <w:pPr>
              <w:jc w:val="center"/>
              <w:ind w:left="371"/>
              <w:spacing w:after="0"/>
              <w:rPr>
                <w:sz w:val="20"/>
                <w:szCs w:val="20"/>
                <w:color w:val="auto"/>
              </w:rPr>
            </w:pPr>
            <w:r>
              <w:rPr>
                <w:rFonts w:ascii="Times New Roman" w:cs="Times New Roman" w:eastAsia="Times New Roman" w:hAnsi="Times New Roman"/>
                <w:sz w:val="14"/>
                <w:szCs w:val="14"/>
                <w:color w:val="0000FF"/>
              </w:rPr>
              <w:t>3</w:t>
            </w:r>
          </w:p>
        </w:tc>
        <w:tc>
          <w:tcPr>
            <w:tcW w:w="420" w:type="dxa"/>
            <w:vAlign w:val="bottom"/>
          </w:tcPr>
          <w:p>
            <w:pPr>
              <w:spacing w:after="0"/>
              <w:rPr>
                <w:sz w:val="16"/>
                <w:szCs w:val="16"/>
                <w:color w:val="auto"/>
              </w:rPr>
            </w:pPr>
          </w:p>
        </w:tc>
      </w:tr>
      <w:tr>
        <w:trPr>
          <w:trHeight w:val="224"/>
        </w:trPr>
        <w:tc>
          <w:tcPr>
            <w:tcW w:w="94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color w:val="auto"/>
              </w:rPr>
              <w:t>Part I</w:t>
            </w:r>
          </w:p>
        </w:tc>
        <w:tc>
          <w:tcPr>
            <w:tcW w:w="4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r>
      <w:tr>
        <w:trPr>
          <w:trHeight w:val="18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Business</w:t>
            </w:r>
          </w:p>
        </w:tc>
        <w:tc>
          <w:tcPr>
            <w:tcW w:w="520" w:type="dxa"/>
            <w:vAlign w:val="bottom"/>
            <w:gridSpan w:val="2"/>
          </w:tcPr>
          <w:p>
            <w:pPr>
              <w:jc w:val="center"/>
              <w:ind w:left="371"/>
              <w:spacing w:after="0"/>
              <w:rPr>
                <w:sz w:val="20"/>
                <w:szCs w:val="20"/>
                <w:color w:val="auto"/>
              </w:rPr>
            </w:pPr>
            <w:r>
              <w:rPr>
                <w:rFonts w:ascii="Times New Roman" w:cs="Times New Roman" w:eastAsia="Times New Roman" w:hAnsi="Times New Roman"/>
                <w:sz w:val="14"/>
                <w:szCs w:val="14"/>
                <w:color w:val="0000FF"/>
              </w:rPr>
              <w:t>5</w:t>
            </w:r>
          </w:p>
        </w:tc>
        <w:tc>
          <w:tcPr>
            <w:tcW w:w="4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660" w:type="dxa"/>
            <w:vAlign w:val="bottom"/>
            <w:gridSpan w:val="16"/>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13</w:t>
            </w:r>
          </w:p>
        </w:tc>
      </w:tr>
      <w:tr>
        <w:trPr>
          <w:trHeight w:val="20"/>
        </w:trPr>
        <w:tc>
          <w:tcPr>
            <w:tcW w:w="9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760" w:type="dxa"/>
            <w:vAlign w:val="bottom"/>
            <w:gridSpan w:val="10"/>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40</w:t>
            </w:r>
          </w:p>
        </w:tc>
      </w:tr>
      <w:tr>
        <w:trPr>
          <w:trHeight w:val="20"/>
        </w:trPr>
        <w:tc>
          <w:tcPr>
            <w:tcW w:w="9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20" w:type="dxa"/>
            <w:vAlign w:val="bottom"/>
            <w:gridSpan w:val="5"/>
          </w:tcPr>
          <w:p>
            <w:pPr>
              <w:spacing w:after="0"/>
              <w:rPr>
                <w:sz w:val="16"/>
                <w:szCs w:val="16"/>
                <w:color w:val="auto"/>
              </w:rPr>
            </w:pPr>
          </w:p>
        </w:tc>
        <w:tc>
          <w:tcPr>
            <w:tcW w:w="7760" w:type="dxa"/>
            <w:vAlign w:val="bottom"/>
            <w:gridSpan w:val="10"/>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40</w:t>
            </w:r>
          </w:p>
        </w:tc>
      </w:tr>
      <w:tr>
        <w:trPr>
          <w:trHeight w:val="20"/>
        </w:trPr>
        <w:tc>
          <w:tcPr>
            <w:tcW w:w="9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Properties</w:t>
            </w:r>
          </w:p>
        </w:tc>
        <w:tc>
          <w:tcPr>
            <w:tcW w:w="280" w:type="dxa"/>
            <w:vAlign w:val="bottom"/>
            <w:gridSpan w:val="3"/>
          </w:tcPr>
          <w:p>
            <w:pPr>
              <w:spacing w:after="0"/>
              <w:rPr>
                <w:sz w:val="16"/>
                <w:szCs w:val="16"/>
                <w:color w:val="auto"/>
              </w:rPr>
            </w:pPr>
          </w:p>
        </w:tc>
        <w:tc>
          <w:tcPr>
            <w:tcW w:w="8580" w:type="dxa"/>
            <w:vAlign w:val="bottom"/>
            <w:gridSpan w:val="15"/>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41</w:t>
            </w:r>
          </w:p>
        </w:tc>
      </w:tr>
      <w:tr>
        <w:trPr>
          <w:trHeight w:val="20"/>
        </w:trPr>
        <w:tc>
          <w:tcPr>
            <w:tcW w:w="9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8340" w:type="dxa"/>
            <w:vAlign w:val="bottom"/>
            <w:gridSpan w:val="14"/>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42</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42</w:t>
            </w:r>
          </w:p>
        </w:tc>
      </w:tr>
      <w:tr>
        <w:trPr>
          <w:trHeight w:val="224"/>
        </w:trPr>
        <w:tc>
          <w:tcPr>
            <w:tcW w:w="9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color w:val="auto"/>
              </w:rPr>
              <w:t>Part II</w:t>
            </w:r>
          </w:p>
        </w:tc>
        <w:tc>
          <w:tcPr>
            <w:tcW w:w="4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r>
      <w:tr>
        <w:trPr>
          <w:trHeight w:val="18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43</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63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Reserved</w:t>
            </w:r>
          </w:p>
        </w:tc>
        <w:tc>
          <w:tcPr>
            <w:tcW w:w="3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44</w:t>
            </w:r>
          </w:p>
        </w:tc>
      </w:tr>
      <w:tr>
        <w:trPr>
          <w:trHeight w:val="20"/>
        </w:trPr>
        <w:tc>
          <w:tcPr>
            <w:tcW w:w="9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5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w w:val="99"/>
              </w:rPr>
              <w:t>Management’s Discussion and Analysis of Financial Condition and Results of Operations</w:t>
            </w:r>
          </w:p>
        </w:tc>
        <w:tc>
          <w:tcPr>
            <w:tcW w:w="43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45</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5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3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58</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26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gridSpan w:val="2"/>
          </w:tcPr>
          <w:p>
            <w:pPr>
              <w:spacing w:after="0"/>
              <w:rPr>
                <w:sz w:val="16"/>
                <w:szCs w:val="16"/>
                <w:color w:val="auto"/>
              </w:rPr>
            </w:pPr>
          </w:p>
        </w:tc>
        <w:tc>
          <w:tcPr>
            <w:tcW w:w="5960" w:type="dxa"/>
            <w:vAlign w:val="bottom"/>
            <w:gridSpan w:val="6"/>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59</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5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Changes in and Disagreement with Accountants on Accounting and Financial Disclosure</w:t>
            </w:r>
          </w:p>
        </w:tc>
        <w:tc>
          <w:tcPr>
            <w:tcW w:w="43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640" w:type="dxa"/>
            <w:vAlign w:val="bottom"/>
            <w:gridSpan w:val="9"/>
          </w:tcPr>
          <w:p>
            <w:pPr>
              <w:spacing w:after="0"/>
              <w:rPr>
                <w:sz w:val="16"/>
                <w:szCs w:val="16"/>
                <w:color w:val="auto"/>
              </w:rPr>
            </w:pPr>
          </w:p>
        </w:tc>
        <w:tc>
          <w:tcPr>
            <w:tcW w:w="43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360" w:type="dxa"/>
            <w:vAlign w:val="bottom"/>
            <w:gridSpan w:val="2"/>
          </w:tcPr>
          <w:p>
            <w:pPr>
              <w:spacing w:after="0"/>
              <w:rPr>
                <w:sz w:val="16"/>
                <w:szCs w:val="16"/>
                <w:color w:val="auto"/>
              </w:rPr>
            </w:pPr>
          </w:p>
        </w:tc>
        <w:tc>
          <w:tcPr>
            <w:tcW w:w="7980" w:type="dxa"/>
            <w:vAlign w:val="bottom"/>
            <w:gridSpan w:val="12"/>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91</w:t>
            </w:r>
          </w:p>
        </w:tc>
      </w:tr>
      <w:tr>
        <w:trPr>
          <w:trHeight w:val="224"/>
        </w:trPr>
        <w:tc>
          <w:tcPr>
            <w:tcW w:w="9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color w:val="auto"/>
                <w:w w:val="99"/>
              </w:rPr>
              <w:t>Part III</w:t>
            </w:r>
          </w:p>
        </w:tc>
        <w:tc>
          <w:tcPr>
            <w:tcW w:w="4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r>
      <w:tr>
        <w:trPr>
          <w:trHeight w:val="18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92</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16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92</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6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92</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57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6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92</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510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92</w:t>
            </w:r>
          </w:p>
        </w:tc>
      </w:tr>
      <w:tr>
        <w:trPr>
          <w:trHeight w:val="224"/>
        </w:trPr>
        <w:tc>
          <w:tcPr>
            <w:tcW w:w="9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gridSpan w:val="4"/>
          </w:tcPr>
          <w:p>
            <w:pPr>
              <w:jc w:val="center"/>
              <w:ind w:right="4280"/>
              <w:spacing w:after="0"/>
              <w:rPr>
                <w:sz w:val="20"/>
                <w:szCs w:val="20"/>
                <w:color w:val="auto"/>
              </w:rPr>
            </w:pPr>
            <w:r>
              <w:rPr>
                <w:rFonts w:ascii="Times New Roman" w:cs="Times New Roman" w:eastAsia="Times New Roman" w:hAnsi="Times New Roman"/>
                <w:sz w:val="14"/>
                <w:szCs w:val="14"/>
                <w:color w:val="auto"/>
              </w:rPr>
              <w:t>Part IV</w:t>
            </w:r>
          </w:p>
        </w:tc>
        <w:tc>
          <w:tcPr>
            <w:tcW w:w="4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r>
      <w:tr>
        <w:trPr>
          <w:trHeight w:val="18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9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93</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22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7100" w:type="dxa"/>
            <w:vAlign w:val="bottom"/>
            <w:gridSpan w:val="9"/>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96</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12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8160" w:type="dxa"/>
            <w:vAlign w:val="bottom"/>
            <w:gridSpan w:val="13"/>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0000FF"/>
                <w:w w:val="71"/>
              </w:rPr>
              <w:t>97</w:t>
            </w: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This Annual Report on Form 10-K, including the section entitled “Management’s Discussion and Analysis of Financial Condition and Results of Operations,”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w:t>
      </w:r>
    </w:p>
    <w:p>
      <w:pPr>
        <w:spacing w:after="0" w:line="9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and operating results;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growth and profitability;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publishers and expand the utilization of our buyers;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 consistent supply of quality advertising inventory;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competitive technological advantages against competitors in our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concerning the advertising industry, including the impact of macroeconomic conditions, inflation and rising interest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introduce new offerings and bring them to market in a timely manner;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brand and intellectual property;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expand internationally;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concerning relationships with third parties;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of or investments in complementary companies or technologies;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evolving legal and industry standards and regulations, particularly concerning data protection and consumer privacy.</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including those described in “Risk Factors” and elsewhere in this Annual Report on Form 10-K. Moreover, we operate in a very competitive and rapidly changing environment, and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 You should read this Annual Report on Form 10-K and the documents that we reference in this Annual Report on Form 10-K and have filed with the Securities and Exchange Commission (the “SEC”), with the understanding that our actual future results, performance, and circumstances may be materially different from what we expect.</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otherwise indicated, the terms “PubMatic,” “we,” “us,” and “our” refer to PubMatic, Inc. and our consolidated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Unless otherwise indicated, information contained in this Annual Report on Form 10-K concerning our industry and the markets in which we operate is based on information we obtained from industry publications and third-party research, surveys and studies, as well as assumptions that we have made that are based on that data and on our knowledge of the markets for our products and services. This information involves important assumptions and limitations, and are necessarily subject to a high degree of uncertainty and risk due to a variety of factors, including those described in “Risk Factors” and elsewhere in this this Annual Report on Form 10-K.</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This Annual Report on Form 10-K contains our trade names, trademarks, and service marks, including the PubMatic name and logo, and all product names. This Annual Report on Form 10-K may also contain the trade names, trademarks, and service marks of other companies. We do not intend our use or display of other companies’ trade names, trademarks, or service marks to imply a relationship with these other companies, or endorsement or sponsorship of us by these other companies. Other trademarks appearing in this Annual Report on Form 10-K are the property of their respective holders.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8"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and results of operations are highly dependent on the overall demand for advertising.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fluctuate significantly and may not meet our expectations or those of securities analysts and investors.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make the right investment decisions in our platform, or if we fail to innovate and develop new solutions that are adopted by publishers, we may not attract and retain publishers and buyers, which could adversely affect our business, results of operations, and financial condition.</w:t>
      </w: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scale our platform infrastructure to support anticipated growth and transaction volume. If we fail to do so, or doing so becomes too costly, we may limit our ability to process ad impressions, and we may lose revenue.</w:t>
      </w: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provide new or expanded offerings may not be successful, or we may not be able to scale our offerings to meet demand in a timely manner, and, as a result, we may not realize a return from our investments.</w:t>
      </w: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rejection of targeted advertising by consumers, through opt-in, opt-out or ad-blocking technologies or other means or the restriction on the use of third party-cookies, mobile advertising identifiers or other tracking technologies, could adversely affect our business, results of operations, and financial condition.</w:t>
      </w: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deprecation of third-party cookies, and the potential of others to develop proprietary replacements for cookies, could adversely affect our business, results of operations, and financial condition.</w:t>
      </w: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publishers, buyers, and data providers do not obtain necessary and requisite consents from consumers for us to process their personal data, we could be subject to fines and liability.</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digital advertising industry is intensely competitive, and if we do not effectively compete against current and future competitors, our business, results of operations, and financial condition could be adversely affected.</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pressure may reduce our revenue per impression.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or market changes in digital advertising activity could adversely affect our business, results of operations, and financial condition.</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ad formats and digital device types develop in ways that prevent advertisements from being delivered to consumers, our business, results of operations, and financial condition may be adversely affected.</w:t>
      </w: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detect or prevent fraud on our platform, or malware intrusion into the systems or devices of our publishers and their consumers, publishers could lose confidence in our platform, and we could face legal claims.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our ability to retain key members of our management team, and on our ability to hire, train, retain, and motivate new employees.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payment-related risks if demand-side platform (“DSP”) buyers dispute or do not pay their invoices, and if DSPs file for bankruptcy protection or there are any decreases in payments, it could adversely affect our reputation, business, results of operations, and financial condition</w:t>
      </w: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and reliance upon technology and development resources in India may expose us to unanticipated costs and liabilities, which could affect our ability to realize cost savings from our operations in India.</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data centers, the disruption of which could adversely affect our business, results of operations, and financial condition.</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software platform could be susceptible to errors, defects, or unintended performance problems that could adversely affect our business, results of operations, and financial condition.</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frequently evolving laws, regulations and industry requirements related to data privacy, data protection, information security, and consumer protection across the markets we operate in.</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uncertainty and industry unpreparedness for new regulations may mean substantial disruption and inefficiency, demand constraints, and reduced inventory supply and value.</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Recent legal developments in Europe have introduced uncertainty for transferring personal data from the European Union to the United States, which may require us to change our EU data practices.</w:t>
      </w: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intellectual property rights claims by third parties, which are costly to defend, could require us to pay significant damages, and could limit our ability to use technology or intellectual property.</w:t>
      </w: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licenses to use the intellectual property rights of third parties to conduct our business.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effective internal controls, our ability to produce accurate financial statements and other disclosures on a timely basis could be impaired.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agreement contains operating and financial covenants that may restrict our business and financing activities.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the shares of our Class A common stock has been and may continue to be volatile and could subject us to litigation.</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PubMatic, Inc. (“we”, or “us) is an independent technology company seeking to maximize customer value by delivering digital advertising’s supply chain of the future. Our mission is to fuel the endless potential of Internet content creators and to enable a thriving, advertisement-funded open internet where global audiences can gain free or affordable access to information and entertainment.</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integrated technology platform empowers the world’s leading digital content creators (which we collectively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digital advertising ecosystem continues to evolve and adapt at a rapid pace. Some key industry trends include:</w:t>
      </w:r>
    </w:p>
    <w:p>
      <w:pPr>
        <w:spacing w:after="0" w:line="9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Continued Growth of Digital Media Across Multiple Platforms: </w:t>
      </w:r>
      <w:r>
        <w:rPr>
          <w:rFonts w:ascii="Times New Roman" w:cs="Times New Roman" w:eastAsia="Times New Roman" w:hAnsi="Times New Roman"/>
          <w:sz w:val="14"/>
          <w:szCs w:val="14"/>
          <w:color w:val="auto"/>
        </w:rPr>
        <w:t>Consumers have dramatically increased the amount of time they spend online, on mobile devices, or watching content through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connected television, or CTV. Numerous activities that historically occurred offline continue to shift online. To better reach consumers, every major media format has transitioned or is in the process of transitioning content from traditional or analog means of delivery to digital across every media channel and device. In addition, digital advertising continues to evolve into new areas such as commerce media, which creates new opportunities for growth.</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Automation and Data Processing: </w:t>
      </w:r>
      <w:r>
        <w:rPr>
          <w:rFonts w:ascii="Times New Roman" w:cs="Times New Roman" w:eastAsia="Times New Roman" w:hAnsi="Times New Roman"/>
          <w:sz w:val="14"/>
          <w:szCs w:val="14"/>
          <w:color w:val="auto"/>
        </w:rPr>
        <w:t>The challenges of scale and the complexity of the digital advertising ecosystem require an automated, fast, and efficient approach to purchasing ads online,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known as programmatic advertising. Programmatic advertising, on an automated basis, enables buyers to purchase ad impressions on publisher supplied inventory within milliseconds in a sophisticated, technology-driven marketplace. With header bidding, which enables a single parallel auction by a publisher with multiple interested parties simultaneously, the industry has seen a significant increase in the number of ad impressions that need to be processed and analyzed in real-time by each participant in the digital advertising ecosystem.</w:t>
      </w:r>
    </w:p>
    <w:p>
      <w:pPr>
        <w:spacing w:after="0" w:line="5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consumers increasingly engage with digital media, and as advertisers bid on a growing array of ad formats and impressions, an immense amount of data is generated. This data includes anonymized consumer information about interests and intent, log files of winning and losing advertiser bids, and transaction records for billing and payment reconciliation. Technology infrastructure platforms must rapidly process this data while offering a seamless digital ad experience. Companies must continue to innovate and find efficiencies in their data processing, including through the use of machine learning and artificial intelligence, to maintain pace with growing volumes of transactions to maintain profitability.</w:t>
      </w:r>
    </w:p>
    <w:p>
      <w:pPr>
        <w:spacing w:after="0" w:line="5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Consolidation and Convergence of the Digital Advertising Supply Chain: </w:t>
      </w:r>
      <w:r>
        <w:rPr>
          <w:rFonts w:ascii="Times New Roman" w:cs="Times New Roman" w:eastAsia="Times New Roman" w:hAnsi="Times New Roman"/>
          <w:sz w:val="14"/>
          <w:szCs w:val="14"/>
          <w:color w:val="auto"/>
        </w:rPr>
        <w:t>As advertisers increase the percentage of their overall advertising budgets spent on digital formats, they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increasingly demanding greater efficiency and control of their entire digital advertising supply chain. Buyers are looking to reduce operational costs, simplify their buying operations, and increase the return on ad spend or investment. Additionally, buyers want control in determining which media, content, or consumer their ad spend is being invested with to avoid appearing next to content that reflects poorly on the advertiser’s brand or purchasing fraudulent or fake inventory.</w:t>
      </w:r>
    </w:p>
    <w:p>
      <w:pPr>
        <w:spacing w:after="0" w:line="5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This desire for efficiency and control has led to a growing trend among advertisers to establish direct relationships with vendors in the digital advertising ecosystem that have transparent business practices and technical capabilities to meet their objectives. Additionally, buyers are increasingly interested in adopting integrated solutions on one platform that provides both demand side and sell side functionality. This has resulted in a larger portion of media spend consolidating onto fewer, more capable technology platforms.</w:t>
      </w:r>
    </w:p>
    <w:p>
      <w:pPr>
        <w:spacing w:after="0" w:line="4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Data Privacy and Regulatory Challenges: </w:t>
      </w:r>
      <w:r>
        <w:rPr>
          <w:rFonts w:ascii="Times New Roman" w:cs="Times New Roman" w:eastAsia="Times New Roman" w:hAnsi="Times New Roman"/>
          <w:sz w:val="14"/>
          <w:szCs w:val="14"/>
          <w:color w:val="auto"/>
        </w:rPr>
        <w:t>There is an increasing awareness of how Internet user data is being leveraged to target ads, resulting in a growing number of privacy laws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regulations. In addition to governmental actors, including legislatures and regulatory agencies at the national and state level, there have also been a growing number of consumer-focused non-profit organizations and commercial entities advocating for privacy rights. These laws and institutions enable Internet consumers to assert their rights over the use of their online data in advertising transactions, a trend which we support. The digital advertising landscape must continue to adapt to these trends and incorporate awareness of consumer privacy and compliance with applicable laws and regulations.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several companies have greatly limited the use of third-party cookies and other non-privacy safe identifiers. We believe the “Open Internet” outside the “walled gardens” (a colloquial term that refers to closed advertising platforms such as Google and Meta) will shift from targeting by anonymized and invisible third-party cookies or identifiers to known identities based on consumer choice and opt-in. We expect this shift towards significantly more reliable and accurate consumer identity will create short term disruption but could have the potential to significantly increase advertiser return on investment (“ROI”) and therefore publisher revenue in the long run.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Digital Advertising Solutions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generate revenue from the use of our platform for the purchase and sale of digital advertising inventory.</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primarily work with publishers and app developers who allow us direct access to their ad inventory, as well as select channel partners that meet our quality and scale thresholds. Our channel partners aggregate and provide further access to thousands of sites and apps from smaller publishers. We generate revenue through fees charged to our publishers, which are generally a percentage of the value of the advertising impressions that publishers monetize on our platform.</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generate revenues from our other products such as OpenWrap, our header bidding solution, and Connect, our solution that provides additional data and insights to buyers, which are sold separate from or in conjunction with use of our platform. We continue to invest in new features for our existing solutions and emerging solutions such as our product Activate, which allows buyers to execute direct deals on our platform across publisher inventory, and Convert, our commerce media solution.</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facilitate the sale of publisher inventory, we enter into written service agreements with our buyers, primarily DSPs, that allow them to use our platform to buy ad inventory.</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Digital advertising spend has historically been subject to seasonality.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while those same impressions may be priced lower in other quarters.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Advantage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Publishers are actively seeking to maximize the value of their ad inventory, and buyers are seeking to increase advertising ROI. We believe that our specialized cloud platform, supported by rapid innovation, and transparent business model provide incentives to buyers to consolidate an increasing share of their total digital spend on our platform. At the same time, we believe our direct publisher relationships, omnichannel header bidding capabilities, global scale, emerging solutions, and access to incremental advertiser demand through direct relationships with buyers drive superior yield for publishers.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the following strengths provide us with long-term competitive advantages:</w:t>
      </w:r>
    </w:p>
    <w:p>
      <w:pPr>
        <w:spacing w:after="0" w:line="9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Global, Omnichannel Reach: </w:t>
      </w:r>
      <w:r>
        <w:rPr>
          <w:rFonts w:ascii="Times New Roman" w:cs="Times New Roman" w:eastAsia="Times New Roman" w:hAnsi="Times New Roman"/>
          <w:sz w:val="14"/>
          <w:szCs w:val="14"/>
          <w:color w:val="auto"/>
        </w:rPr>
        <w:t>We are a global business with distributed critical infrastructure and a go-to-market presence in every major advertising market in the world outside of China. Many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publishers have diversified businesses with media properties and audiences across the globe and with a wide variety of ad products, including display and video ads across desktop, tablet, mobile, and connected TV devices. Similarly, many of our buyers have brand portfolios that span the globe with a variety of ad campaign requirements – from branding to performance, to combinations thereof. All of these parties actively seek global, omnichannel platform providers that can solve for their needs around the world and across ad formats and devices. Our offering is omnichannel and targets a diverse set of publishers touching many ad formats, and digital device types, including mobile app, mobile web, desktop, display, video, over-the-top video/connected TV (“OTT/CTV”), and rich media. Due to the global, omnichannel reach of our infrastructure, we believe we are well positioned to help publishers and ad buyers make their advertising businesses more efficient and effective.</w:t>
      </w:r>
    </w:p>
    <w:p>
      <w:pPr>
        <w:spacing w:after="0" w:line="5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Control and Partnership: </w:t>
      </w:r>
      <w:r>
        <w:rPr>
          <w:rFonts w:ascii="Times New Roman" w:cs="Times New Roman" w:eastAsia="Times New Roman" w:hAnsi="Times New Roman"/>
          <w:sz w:val="14"/>
          <w:szCs w:val="14"/>
          <w:color w:val="auto"/>
        </w:rPr>
        <w:t>Due to our status as an independent infrastructure provider prioritizing transparency, we can be more closely aligned with both publishers and buyers. We do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own media and therefore do not have a vested interest in driving ad revenue to specific media properties. We do not take a position in media or arbitrage media. Transparency is a fundamental principle of our business and we provide detailed insights of fees to our customers. Our customers can therefore be more confident that our algorithmic software decisions and our guidance are independent and unbiased. Our trusted status has enabled us to build direct relationships with publishers, advertisers, agencies, and DSPs. Leveraging these relationships, we create bespoke products that meet our customers’ needs. Our ability to meet the demands of both buyers and inventory sellers enables us to produce superior outcomes for all industry participants.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Sustained Innovation of our Cloud Platform: </w:t>
      </w:r>
      <w:r>
        <w:rPr>
          <w:rFonts w:ascii="Times New Roman" w:cs="Times New Roman" w:eastAsia="Times New Roman" w:hAnsi="Times New Roman"/>
          <w:sz w:val="14"/>
          <w:szCs w:val="14"/>
          <w:color w:val="auto"/>
        </w:rPr>
        <w:t>Our specialized cloud platform enables real-time programmatic advertising transactions in a market characterized by significant data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impression volumes, regulatory complexity, and increased focus on transparency and privacy. We have maintained a demonstrated track record of stability and agility to address these regulatory and market conditions, and provide superior outcomes for both publishers and buyers. Additionally, we own and operate our proprietary software and hardware infrastructure around the world. This approach saves significant costs compared to companies that rely on public cloud alternatives due to the data-intensive nature of digital advertising and the immense volume of ad impressions created by header bidding.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Strategy</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 Our growth strategy includes: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Attract New Customers and Expand our Relationship with Existing Customers Globally: </w:t>
      </w:r>
      <w:r>
        <w:rPr>
          <w:rFonts w:ascii="Times New Roman" w:cs="Times New Roman" w:eastAsia="Times New Roman" w:hAnsi="Times New Roman"/>
          <w:sz w:val="14"/>
          <w:szCs w:val="14"/>
          <w:color w:val="auto"/>
        </w:rPr>
        <w:t>We constantly seek to acquire new customers and expand our relationships with existing publishers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buyers around the world. We invest in continued innovation based on an ever-changing market. We utilize customer feedback to help address the demands of publishers and buyers in order to maintain and improve our relationships with those customers. We continue to evaluate new markets with a strategy to use our existing global infrastructure and adjacent sales offices, or by expanding our infrastructure footprint and placing personnel directly in those markets.</w:t>
      </w:r>
    </w:p>
    <w:p>
      <w:pPr>
        <w:spacing w:after="0" w:line="5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Expansion of SPO Agreements and Activate</w:t>
      </w:r>
      <w:r>
        <w:rPr>
          <w:rFonts w:ascii="Times New Roman" w:cs="Times New Roman" w:eastAsia="Times New Roman" w:hAnsi="Times New Roman"/>
          <w:sz w:val="14"/>
          <w:szCs w:val="14"/>
          <w:color w:val="auto"/>
        </w:rPr>
        <w:t>: As advertisers and agencies increasingly consolidate their spending with fewer larger technology platforms, we seek to increase the proportion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digital ad spending on our platform through direct relationships. We have entered into supply path optimization (“SPO”) agreements directly with both advertisers and agencies through various arrangements including custom data and workflow integrations, product features, and volume-based business terms. The effect of these SPO agreements is to increase the volume of ad spend on our platform without corresponding increases in technology costs. Additionally, we believe our Activate platform provides buyers with the transparency and reporting they demand and a more efficient, programmatic way to access publisher inventory.</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Expansion of Video and Mobile: </w:t>
      </w:r>
      <w:r>
        <w:rPr>
          <w:rFonts w:ascii="Times New Roman" w:cs="Times New Roman" w:eastAsia="Times New Roman" w:hAnsi="Times New Roman"/>
          <w:sz w:val="14"/>
          <w:szCs w:val="14"/>
          <w:color w:val="auto"/>
        </w:rPr>
        <w:t>We see significant growth opportunities in both video and mobile as consumers shift more of their time online to mobile devices and online streaming services.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 as streaming video continues to expand and ad-supported models become more prevalent, we expect advertising budgets will shift from linear television to CTV.</w:t>
      </w:r>
    </w:p>
    <w:p>
      <w:pPr>
        <w:spacing w:after="0" w:line="7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Monetization Excellence: </w:t>
      </w:r>
      <w:r>
        <w:rPr>
          <w:rFonts w:ascii="Times New Roman" w:cs="Times New Roman" w:eastAsia="Times New Roman" w:hAnsi="Times New Roman"/>
          <w:sz w:val="14"/>
          <w:szCs w:val="14"/>
          <w:color w:val="auto"/>
        </w:rPr>
        <w:t>We strive to continuously improve publisher revenue and advertiser ROI by investing in our technology and improving our machine learning capabilities. We leverage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increasing artificial intelligence and machine learning capabilities, alongside our growing publisher and buyer relationships, to improve liquidity in our marketplace. Increasing numbers of ad impressions, increasing advertiser bids, and data proliferation provide us with many opportunities to better match sellers and buyers of ad inventory. We believe that improved matching will lead to the growth of our platform and greater publisher and buyer retention.</w:t>
      </w:r>
    </w:p>
    <w:p>
      <w:pPr>
        <w:spacing w:after="0" w:line="5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Accelerate Emerging Revenue Streams: </w:t>
      </w:r>
      <w:r>
        <w:rPr>
          <w:rFonts w:ascii="Times New Roman" w:cs="Times New Roman" w:eastAsia="Times New Roman" w:hAnsi="Times New Roman"/>
          <w:sz w:val="14"/>
          <w:szCs w:val="14"/>
          <w:color w:val="auto"/>
        </w:rPr>
        <w:t>As we grow our customer base and process increasing volumes of ad impressions and data, we gain insights into new challenges we can solve on behalf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customers. We focus on creating new products that we believe address our customers’ needs, at times before the customer is aware of such need. For example, the Open Internet continues to shift from targeting by anonymized and invisible third-party cookies that consumers must opt out of, towards known first-party identity based on consumer choice and opt-in or other privacy compliant solutions. As a result, publishers and advertisers must transition to a new identity paradigm. We have built a comprehensive platform that allows for the use of many of the leading identifiers in a scaled and privacy-compliant fashion resulting in increased publisher revenue and buyer ROI. We will continue to invest in our go to market efforts to sell these new offerings such as Connect, Activate and Convert, which drives new revenues streams, and have begun to shift customers from a free to fee model for existing solutions such as OpenWrap.</w:t>
      </w:r>
    </w:p>
    <w:p>
      <w:pPr>
        <w:spacing w:after="0" w:line="5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Infrastructure Platform Efficiency: </w:t>
      </w:r>
      <w:r>
        <w:rPr>
          <w:rFonts w:ascii="Times New Roman" w:cs="Times New Roman" w:eastAsia="Times New Roman" w:hAnsi="Times New Roman"/>
          <w:sz w:val="14"/>
          <w:szCs w:val="14"/>
          <w:color w:val="auto"/>
        </w:rPr>
        <w:t>We have a track record of expanding the capacity of our infrastructure platform, while maintaining or reducing the corresponding costs related to processing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impressions transacted on our platform on a per impressions basis. We expect to continue to invest in both software and hardware infrastructure to continue growing the number of valuable ad impressions we process on our platform.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Additionally, we analyze the data on our platform through extensive application of artificial intelligence technologies, including machine learning and natural language processing. By leveraging our artificial intelligence and machine learning capabilities, we are able to more cost effectively improve outcomes for our customers. For example, when our machine learning models predict that an impression will attract high bids, our algorithms adjust pricing guidance to bidders in real time, which can lead to significant inventory yield improvements for publishers and higher win rates for ad buyers. Our ability to accurately predict and monetize high value impressions also allows us to operate more efficiently, due to the fact that the cost of processing low-value impressions and high-value impressions are approximately the same. Our algorithms, such as for impression throttling, deploy a variety of means to optimize traffic sent to DSPs, agencies, and advertisers.</w:t>
      </w:r>
    </w:p>
    <w:p>
      <w:pPr>
        <w:spacing w:after="0" w:line="5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Compliance: </w:t>
      </w:r>
      <w:r>
        <w:rPr>
          <w:rFonts w:ascii="Times New Roman" w:cs="Times New Roman" w:eastAsia="Times New Roman" w:hAnsi="Times New Roman"/>
          <w:sz w:val="14"/>
          <w:szCs w:val="14"/>
          <w:color w:val="auto"/>
        </w:rPr>
        <w:t>A growing set of privacy regulations have introduced complexity regarding the collection, use, processing, and transmission of consumer data to the digital advertising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ecosystem. Most notably, these include the General Data Protection Regulation (the “GDPR”) which took effect in the European Union in May 2018, and the California Consumer Privacy Act (as amended, the “CCPA”) which took effect in January 2020. The GDPR and the CCPA, as well as other global and U.S. state consumer privacy laws and regulations, have created a compliance burden for advertisers, publishers, and their partners to navigate. More recently, state privacy regimes have continued to expand, and we must monitor and comply with a growing number of state regulations that may be inconsistent or imprecise. The advertising industry has developed a number of the technical and policy solutions to create standards for compliance, such as the Interactive Advertising Bureau (the “IAB”) Transparency Consent Framework (“TCF”).</w:t>
      </w:r>
    </w:p>
    <w:p>
      <w:pPr>
        <w:spacing w:after="0" w:line="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implemented a number of technology innovations, process enhancements, and industry solutions in response to our publishers’ increased obligations. Through the TCF and other frameworks, we can identify and pass user consent parameters, and opt-in or opt-out as applicable, in a bid request. We are also able to evaluate whether such consents apply to our various demand partners, such as DSPs and agencies.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Technology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We designed our platform using a flexible, service-oriented architecture in order to facilitate rapid development of new solutions, to meet evolving industry demands, and to support new use cases and new ad formats. Our agile development process and flexible, service-oriented architecture empower our development teams to routinely convert a requirement into working software within a typical time frame of two weeks or less.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offer our solution as a complete, unified offering for publishers who want a simple, efficient and comprehensive solution. We also offer modular access to our platform via rich application programming interfaces and a mobile software developer kit for mobile applications (“SDK”), for publishers who wish to integrate with or extend the platform or develop new business models and custom advertising solutions.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Some key benefits of our platform to publishers and buyers include:</w:t>
      </w:r>
    </w:p>
    <w:p>
      <w:pPr>
        <w:spacing w:after="0" w:line="94" w:lineRule="exact"/>
        <w:rPr>
          <w:sz w:val="20"/>
          <w:szCs w:val="20"/>
          <w:color w:val="auto"/>
        </w:rPr>
      </w:pPr>
    </w:p>
    <w:p>
      <w:pPr>
        <w:jc w:val="both"/>
        <w:ind w:left="5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Scalability: Our specialized cloud infrastructure is designed for the rapid and efficient processing of real-time, programmatic ad transactions and the aggregation and analysis of the significant data accompanying each transaction. The hundreds of billions of ad impressions and trillion advertiser bids that we process every day generate enormous volumes of data that we harness to drive higher revenue for our publishers and increased ROI for our buyers.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Transparency: We provide log-level data to buyers and provide transparency on every ad impression, which gives buyers full control over which publishers, ad formats, and specific ad impressions on which they would like to bid.</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Built in Quality Controls: We have developed a multi-pronged strategy to create a high-quality marketplace beginning with high quality publisher selection, supported by proprietary and third-party fraud detection software, manual review, timely fraud investigations, and a fraud-free program in which buyers are credited for any fraudulent inventory they may have purchased on our platform.</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Driven Decisions: We leverage our artificial intelligence and machine learning capabilities to record, aggregate, analyze, and act on vast amounts of data in a matter of milliseconds to help our customers optimize their digital advertising businesses in real-time. This data includes first party customer owned audience data, ad impression and bid request data, and advertiser bid response data. We flow all of this data through our machine learning platform in order to run thousands of algorithmic iterations on trillions of data points per month. These capabilities improve long term marketplace liquidity resulting in increased publisher revenue and higher advertiser ROI.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Self-Serve: Our cloud infrastructure solutions are available via self-serve to publishers and buyers, including an easy-to-use customer user interface and a set of application programming interfaces that allow our publisher customers to configure new inventory, extend into new geographies or ad formats, review reporting insights, and manage and track payments and billing cycles.</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Our technology platform provides extensive reporting capabilities to both buyers and publishers via application programming interfaces for direct integration into a customer’s reporting systems. Publishers are able to review performance, monitor key performance indicators (“KPIs”), and make adjustments to their set up and optimization in real time. Buyers have access to campaign insight data to facilitate testing and adaptation toward maximizing ROI. Detailed performance by ad format, channels, and ad sizes allows for optimization to achieve maximum ROI.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primarily deploy a self-service model and focus our sales and marketing efforts on supporting, advising, and training our publishers to optimize their usage of our platform. We employ a nimble in-market sales team with expertise in programmatic advertising to attract premium publishers to our platform. We have dedicated teams focused on new publisher acquisition and existing publisher relationship management. Publishers on our platform work closely with our Customer Success team, which handles on-boarding and providing support throughout the publisher relationship life cycle. Our Customer Success team is organized and specialized by type of ad format and device and is trained to both maximize the number of integrations with each publisher and deploy the value-added solutions that we provide.</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Similarly, we have teams focused on new business acquisition and existing partner retention and expansion for advertisers, agencies, and DSPs. These teams focus on onboarding new partners and increasing spend across a variety of ad formats, devices, and geographies.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marketing team is focused on achieving thought leadership, educating customers on how to harness programmatic advertising to improve their business, guiding buyers on how to maximize ROI via the PubMatic cloud infrastructure, supporting our sales team, generating new leads, and increasing awareness for our brand.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the proliferation of media across platforms, transaction speed, increased costs, transparency, and regulatory requirements. To address these issues at scale for both publishers and buyers, we provide specialized software and hardware infrastructure to optimally power technology-driven transactions. We compete with other large SSPs, smaller private SSPs in markets around the world, and divisions of larger technology companies.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While there is direct competition, our cloud infrastructure is interoperable with the major header bidding software frameworks including open source Prebid, Google’s Open Bidding, Amazon’s Transparent Ad Marketplace, and others.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also demonstrated an ability to extend our header bidding infrastructure into a variety of higher-growth ad formats such as mobile web, mobile app, digital video, and most recently OTT/CTV.</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believe that our specialized platform and cloud infrastructure enable us to compete favorably on the factors described above. In addition, we believe that new market entrants would find it difficult to gain direct access to publishers and ad buyers given their limited scale and face significant costs to integrate with publishers and ad buyers and comply with evolving regulatory requirements around the world.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Concentration</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depend upon a limited number of large DSPs for a large percentage of impressions purchased and our business results, including revenues, may be impacted by changes in their pricing strategies, bidding algorithms or go-to market efforts. Two of our largest DSP relationships are with Google and The Trade Desk. We are party to an agreement with Google LLC, under which Google is a buyer on our platform. The initial one-year term of the current agreement ended in May 2019, and it automatically renews for successive one-year terms unless either party provides written notice at least 60 days’ prior to the end of the initial term or such successive terms. Either party may terminate for convenience upon providing at least 30 days’ prior written notice. We signed a prior similar agreement with a Google subsidiary in 2012. We are also party to an agreement with The Trade Desk, Inc., under which The Trade Desk is a buyer on our platform. The initial term of the agreement ended in November 2013, and it automatically renews for successive one-year terms. Either party may terminate for convenience upon providing at least 30 days’ prior written notice.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protection of our technology and intellectual property is an important component of our success. We protect our intellectual property rights by relying on federal and state statutory and common law rights, foreign laws where applicable, and contractual restrictions. We seek to control access to our proprietary technology by entering into non-disclosure agreements with third parties and disclosure and invention assignment agreements with our employees and contractors.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consider our trademarks, patents, copyrights, trade secrets, and other intellectual property rights to be, in the aggregate, material to our business. We currently own two issued U.S. patents, expiring in 2034, relating to online advertising and auction techniques. We also own one issued Japanese patent. We also own trademark registrations and applications for the “PubMatic” name and variants thereof and other product-related marks in the United States and certain foreign countries. We have also registered numerous Internet domain names related to our business. We believe our platform would be difficult, time consuming, and costly to replicate.</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Privacy and Data</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subject to laws and regulations governing privacy and the transmission, collection, and use of personal data. Interest-based advertising, or the use of data to draw inferences about a consumer’s interests and deliver relevant advertising to that consumer, has come under increasing scrutiny by state and federal legislatures, regulatory agencies, and self-regulatory bodies, privacy advocates, academics, and commercial interests in the United States and abroad that focus on data protection and consumer privacy. In particular, much of this scrutiny has focused on consumer consent and the use of cookies and other tracking technologies that collect or aggregate information about consumers’ online browsing and mobile app usage activity. Because both our company and our publishers rely upon large volumes of such data collected primarily through cookies and other tracking technologies, it is essential that we monitor legal requirements and other developments in this area, domestically and globally, maintain a robust privacy and security compliance program, and engage in responsible privacy practices, including providing consumers with notice of the types of data we collect, how we collect it, with whom we share it, how we use that data to provide our solutions, and the applicable choices we offer consumers.</w:t>
      </w:r>
    </w:p>
    <w:p>
      <w:pPr>
        <w:spacing w:after="0" w:line="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provide notice through our privacy policies and notices, which can be found on our website at www.pubmatic.com. We do not collect information, such as names, addresses or telephone phone numbers, for providing our advertising services that are directly identifying of the underlying individual. We take steps not to collect and store such information (although on occasion, our publishers voluntarily share information of their consumers with us and in such circumstances, we require the publishers to have obtained all necessary consents for such sharing). Our advertising and reporting rely on information that does not, on its own, directly reveal the identity of the underlying individuals and we do not attempt to associate this information with other information that can identify such individuals. We typically do collect and store IP addresses, geolocation information, and device identifiers that are considered personal data or personal information under the privacy laws of some jurisdictions or otherwise may be the subject of current or future data privacy legislation or regulation. The definition of personally identifiable information, personal information, or personal data, varies by jurisdiction and continues to evolve in ways that may require us to adapt our practices to avoid violating laws or regulations related to the collection, storage, and use of consumer data. As a result, our technology platform and business practices must be assessed regularly against a continuously evolving legal and regulatory landscape, and we have adopted data minimization practices that mitigate our compliance risks.</w:t>
      </w:r>
    </w:p>
    <w:p>
      <w:pPr>
        <w:spacing w:after="0" w:line="6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There are also an increasing number of specific laws and regulations governing the collection and use of certain types of consumer data relevant to our business. For example, the Children’s Online Privacy Protection Act (“COPPA”) imposes restrictions on the collection and use of data provided by children under the age of 13 by child-directed websites or online services, such as apps, directed to children or any website if the collection of such data is known to the website or app operator. We have taken various steps to implement a system in which our publishers are contractually obligated to either flag or notify us in writing of child-directed websites. When websites are flagged, or we receive notice of such websites, we do not collect personal information, as defined by COPPA, including cookie identifiers that can recognize the same consumer across multiple sites over time, or location information more specific than street and city, on such websites or online services.</w:t>
      </w:r>
    </w:p>
    <w:p>
      <w:pPr>
        <w:spacing w:after="0" w:line="23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our compliance with our privacy policy and our general consumer data privacy and security practices are subject to review by the Federal Trade Commission, which may bring enforcement actions to challenge allegedly unfair and deceptive trade practices, including the violation of privacy policies and representations or material omissions therein.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Certain State Attorneys General in the United States may also bring enforcement actions based on comparable state laws or federal laws that permit state-level enforcement. In California, for example, the state’s Attorney General and the California Privacy Protection Agency (“CPPA”, which is charged with CCPA rule-making and enforcement) may bring regulatory actions for violations of the CCPA. We have registered as a data broker in California with the California Attorney General. We have also adopted the IAB CCPA Compliance Framework, which includes a technical specification to identify consumer signals to opt-out of the sale of their data, and have signed the IAB Limited Service Provider Agreement that imposes service provider obligations for certain opted-out bid requests. These IAB frameworks are designed to facilitate compliance with the CCPA although neither the California Attorney General’s office nor the CPPA has yet approved such frameworks. The CCPA sets forth high potential liabilities for data privacy violations on a per-record basis, and the industry faces an uncertain compliance burden as our partners and publishers work to become compliant with the law. Likewise, over a third of U.S. states have passed their own comprehensive consumer privacy laws and many other states are considering doing so as well. These laws can set forth high potential liabilities for data privacy violations, including on a per-record basis, and the industry faces an uncertain compliance burden as our partners and publishers work to become compliant with these and other laws in the future.</w:t>
      </w:r>
    </w:p>
    <w:p>
      <w:pPr>
        <w:spacing w:after="0" w:line="6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Outside of the United States, our privacy and data practices are subject to regulation by data protection authorities and other regulators in the countries in which we do business. The use and transfer of personal data in member states of the European Union is currently governed under the GDPR, which grants additional rights to consumers about their data, such as deletion and portability, and generally prohibits the transfer of personal data of EU subjects outside of the EU, unless the party exporting the data from the EU implements a compliance mechanism designed to ensure that the receiving party will adequately protect such data. On July 10, 2023, the European Commission approved the EU-U.S. Data Privacy Framework as a valid transfer mechanism, and in October 2023 we self-certified to comply with the EU-U.S. Data Privacy Framework, the UK Extension to the EU-U.S. Data Privacy Framework, and the Swiss-U.S. Data Privacy Framework as a mechanism to legally facilitate personal data transfers from the EU, the U.K., and Switzerland to the U.S. This new Data Privacy Framework could be subject to legal challenge in front of the Court of Justice of the European Union (“CJEU”), specifically by Max Schrems, who successfully litigated to invalidate the prior EU-U.S. Privacy Shield framework in 2020 and has indicated that he will legally challenge these new frameworks.</w:t>
      </w:r>
    </w:p>
    <w:p>
      <w:pPr>
        <w:spacing w:after="0" w:line="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use of other approved cross-border transfer mechanisms, such as the standard contractual clauses for the transfer of personal data specifically to the United States, remains under review by a number of European data protection supervisory authorities, and United States regulators have increasingly scrutinized cross-border bulk transfers of data.</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GDPR, as originally implement by the respective EU members states and later adopted by the U.K. following Brexit (the “UK GDPR”), sets out higher potential liabilities for certain data protection violations, which may result in fines up to the greater of €20 million or 4% of an enterprise’s global annual revenue. Additionally, the UK GDPR will also have the ability to fine up to the greater of £17.5 million or 4% of global turnover.</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jurisdictions have enacted legislation that closely tracks the concepts, obligations, and consumer rights described in the GDPR, including Brazil’s General Data Protection law and India’s Digital Personal Data Protection Act of 2023. Some jurisdictions have in recent years enacted data localization laws, which require any personal data of citizens of those jurisdictions to be stored and processed on servers located in those jurisdictions. Such laws are gaining momentum and are being enforced by local authorities.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Beyond laws and regulations, we are also members of self-regulatory bodies that impose additional requirements related to the collection, use, and disclosure of consumer data, including the IAB, the Digital Advertising Alliance, and the NAI. Under the requirements of these self-regulatory bodies, in addition to other compliance obligations, we provide consumers with notice via our privacy policies about our use of cookies and other technologies to collect consumer data, our collection and use of consumer data to deliver interest-based advertisements, and consumers’ opt-out choices. We also allow consumers to opt-out from the use of data we collect for purposes of interest-based advertising through mechanisms described in our privacy policies available on our website. Some of these self-regulatory bodies have the ability to discipline members or participants, which could result in penalties and cause reputational harm. Additionally, some of these bodies might refer violations of their requirements to the Federal Trade Commission or other regulators.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Team and Culture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culture and our team are our most important asset in building and expanding our business. Our team identifies new problems to solve, builds solutions, optimizes and extends our infrastructure, and acquires and serves our customers. We believe that strong and diverse customer teams deepen customer relationships, promote innovation, and increase productivity.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workplaces have been recognized as a Great Place to Work in the United States, India, Asia, and Europe.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achieved these results by creating employee experiences that foster deep employee engagement built upon personal development and achievement that is supported by continuous feedback, learning, and team building.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 sponsored opportunities to give back to the communities in which they work and live.</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committed to being inclusive in our hiring practices, promotion practices, and management practices as a means of ensuring equal opportunity for all employees as we continue to diversify our workforce. The diversity of our workforce has been publicly documented since 2017 with our annual Diversity &amp; Inclusion Report. Execution of this plan is overseen in part by our Diversity &amp; Inclusion Committee. The plan has a global focus that takes into consideration regional cultural differences to provide interactive employee experiences that drive continuous support for inclusion throughout our organization.</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It has always been our goal to attract and retain the best talent in the industry and our inclusive recruiting process includes finding those candidates that best add to our company mission, values, and cultural principles. These three guiding elements form a social contract between employees as well as set expectations for the common behaviors we can expect from each other and inform how we treat our customers. They are infused in every aspect of our business, from employee experience and workplace culture to marketing strategies and customer success.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Values:</w:t>
      </w:r>
    </w:p>
    <w:p>
      <w:pPr>
        <w:spacing w:after="0" w:line="6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put the customer first.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biased towards action.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leaders and innovators.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committed to integrity.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celebrate teamwork.</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Cultural Principles:</w:t>
      </w:r>
    </w:p>
    <w:p>
      <w:pPr>
        <w:spacing w:after="0" w:line="6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empower every individual team member and treat each other as partners.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make having fun a priority.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hire and retain the best talent.</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communicate internally with honesty, transparency, and authenticity, including positive and negative information.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encourage diversity and inclusion of ideas and people, creating a high-trust and high-performance workplace.</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had 1,049 employees, of whom 319 were located in the United States, 604 in India, and 126 in our other offices around the world.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were incorporated in the State of Delaware in 2006.</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internet address is www.pubmatic.com. We file Annual Reports on Form 10-K, Quarterly Reports on Form 10-Q, Current Reports on Form 8-K, proxy statements and related amendments, exhibits and other information with the Securities and Exchange Commission (the “SEC”). You may access and read our filings without charge through the SEC’s website at www.sec.gov or through our website at https://investors.pubmatic.com as soon as reasonably practicable after such materials are electronically filed with or furnished to the SEC pursuant to Section 13(a) or 15(d) of the Exchange Act.</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Website addresses referred to in this Annual Report on Form 10-K are not intended to function as hyperlinks, and the information contained on or available through our website is not incorporated into, and does not form a part of this Annual Report on Form 10-K or any other report or documents we file with or furnish to the SEC.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the risks and uncertainties described below, together with all of the other information in this Annual Report on Form 10-K, including our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Results of Operations and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 and results of operations are highly dependent on the overall demand for advertising.</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business depends on the overall demand for advertising and on the economic health of our current and prospective publishers and buyers. In recent years, macroeconomic factors such as inflation, rising interest rates and softening demand in certain verticals caused some advertisers to reduce their advertising budgets. Such macroeconomic factors, as well as broader economic downturns, recessions, inflation, further changes in interest rates or foreign exchange rates or any supply chain disruptions, changes in the tax treatment of advertising expenses, or general uncertainty, in North America, Europe, and Asia, where we do most of our business; could adversely affect our business, results of operations, and financial condition. In addition, the conflict in Ukraine and the resumption of the conflict in Israel could cause unpredictable economic effects in Europe and EMEA, including potentially softening general consumer demand. Such conflicts have increased costs of labor and other items impacting our cost of revenue, and these conflicts and potential others may do so in the future. Reductions in overall advertising spending due to these factors could make it difficult to predict our revenue and could adversely affect our business, results of operations, and financial condition.</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or other advantages stemming from their broader experience in the market. We must continue to adapt and improve our technology to compete effectively, and customers have not always embraced our offerings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make technological or financial demands that we are unable or unwilling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generally do not have minimum commitments from publishers. As a result, the amount, quality, and cost of ad impressions available to us can change at any time with little or no prior notice, and we cannot assure you that we will have access to a consistent volume or quality of ad impressions at a reasonable cost, or at all. We depend upon a relatively small number of premium publishers and channel partners and expect to continue to do so for the foreseeable future. To support our continued growth, we seek to add additional publishers and buyers to our platform and to expand current utilization with our existing publishers and buyers. Any disruptions in our relationships with premium publishers, buyers, or our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 limited number of large demand side platforms (“DSPs”) – The Trade Desk and Google DV360 in particular – account for a significant portion of the ad impressions purchased on our platform. We depend upon these DSPs for a large percentage of impressions purchased and expect to do so for the foreseeable future. We have no minimum commitments from buyers to spend on our platform, so the amount of demand available to us can change at any time with little or no prior notice, and we cannot assure you that we will have access to a consistent volume or quality of ad campaigns or demand for our ad impressions at a reasonable price, or at all. Any disruptions in our relationships with DSPs, agencies, advertisers, or buyers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In addition, our business results, including revenues, may be impacted by changes in their pricing strategies, bidding algorithms, or go-to-market efforts.</w:t>
      </w:r>
    </w:p>
    <w:p>
      <w:pPr>
        <w:spacing w:after="0" w:line="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are continuing to enhance such channels. We may not be able to accurately predict changes in overall advertiser demand for the channels in which we operate and cannot assure you that our investment in formats will correspond to any such changes or shifts in demand.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fluctuate significantly and may not meet our expectations or those of securities analysts and investors.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prolonged revenue growth, we may not be able to sustain our historical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1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and pricing for ad impressions sold on our platform;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access to valuable ad impressions from publishers;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responding to evolving industry standards and government regulations that impact our business, particularly in the areas of data protection and consumer privacy;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maintaining, and expanding relationships with publishers, DSPs, agencies, advertisers, and buyers;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in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innovating and developing new solutions that are adopted by and meet the needs of publishers, DSPs, agencies, advertisers, and buyers;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against companies with a larger customer base or greater financial or technical resources;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the buying and selling of ad impressions;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pricing policies of publishers and competitors;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due to changes in macroeconomic environment, including as a result of an economic downturn, recession, inflation, changes in interest rates or foreign exchange rates, disruptions to supply chains, or otherwise;</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expanding our business internationally;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recruiting, integrating, and retaining qualified and motivated employees, particularly engineers.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one or more of the factors above may result in significant fluctuations in our results of operations. You should not rely on our past results as an indicator of our future performance.</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make the right investment decisions in our platform, or if we fail to innovate and develop new solutions that are adopted by publishers, we may not attract and retain publishers and buyers, which could adversely affect our business, results of operations, and financial condition.</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face intense competition in the marketplace and are confronted by rapidly changing technology and artificial intelligence,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a rapidly changing regulatory environment. Our platform is complex and new solutions can require a significant investment of time and resources to develop, test, introduce, and enhance. These activities can take longer than we expect and may require the hiring of employees or contractors with new skill sets, which we may not be able to do in a cost-effective manner or at all. Moreover, we may not make the right decisions regarding these investments. For example, we launched two products, Activate and Convert, which may not ultimately be widely adopted or result in incremental value. Newer formats and channels, such as mobile header bidding and CTV, present unique challenges that we must address to succeed. Our success in new formats and channels depends upon our ability to integrate our platform with these new formats and channels. If our mobile, video, or CTV solutions are not widely adopted by publishers and buyers, we may not retain such publishers and buyers.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and regulatory environment, anticipate publisher and buyer demand, or attract and retain publishers and buyers would cause our revenue or revenue growth rate to decline, and adversely affect our business, results of operations, and financial condition.</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must scale our platform infrastructure to support anticipated growth and transaction volume. If we fail to do so, or doing so becomes too costly, we may limit our ability to process ad impressions, and we may lose revenue.</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business depends on processing advertising impressions in milliseconds, and we must handle an increasingly large volume of such transactions. The demands on our platform infrastructure have increased over time due to, among other factors, the addition of new solutions, such as our Activate or Convert offerings, the need to support evolving advertising formats, the handling and increased use of large amounts of data, and overall growth in impressions. Expanding our platform infrastructure and the number of ad impressions we can process requires resource commitment over a period of months or years, and we may not be able to scale quickly enough if demand increases rapidly as short-term solutions may be too costly or unavailable. If we are unable to grow our platform to support substantial increases in the number of transactions and in the amount of data we process, on a high-performance, cost-effective basis, or we are slow in growing our infrastructure compared to demand,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efforts to provide new or expanded offerings may not be successful, or we may not be able to scale our offerings to meet demand in a timely manner, and, as a result, we may not realize a return from our investments.</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believe there is significant and growing demand for our offerings and those we are developing, and we are making significant investments to meet that demand and grow our market share. That demand may not materialize and, even if it does so, we may not be able to take advantage of that increased demand if we cannot scale our offerings in a timely manner or if the demand for one of our offerings cannibalizes the demand for other products we offer. In some cases, we have experienced fee pressure as we have built out our offerings, and we expect this fee pressure to increase as more competitors, including new entrants as well as publishers themselves, build their own technology and infrastructure to enter the markets in which we do business. Even if the market for these offerings develops as we anticipate, publishers and buyers might not embrace our offerings to the degree we expect due to various factors such as inertia from usage of existing implementations of competitive products. While continued investment in and use of our products has allowed us to achieve efficiencies, the investment cost to gain such efficiencies may grow over time, especially with our existing products which may be closer to technical and economic maturity, and the potential expansion of our business or offerings may increase regulatory scrutiny of our company. Additionally, even if publishers and buyers embrace our new or expanded offerings, the positive effect of these new or expanded offerings on our results of operations may be offset or negated if such adoption cannibalizes business from our existing solutions, if we are unable to scale our offerings to keep up with demand, if we are unable to hire or retain personnel with the requisite skills and experience related to our new or expanded offerings, if publishers and buyers prefer similar offerings from our competitors, or by other adverse developments.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Related to Data Collection and the Use of Collected Data</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rejection of targeted advertising by consumers, through opt-in, opt-out or ad-blocking technologies or other means or the restriction on the use of third party-cookies, mobile advertising identifiers or other tracking technologies, could adversely affect our business, results of operations, and financial condition.</w:t>
      </w:r>
    </w:p>
    <w:p>
      <w:pPr>
        <w:spacing w:after="0" w:line="3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We use “cookies,” or small text files placed on consumer devices when an Internet browser is used, as well as mobile advertising identifiers, to gather data that enables our platform to better serve our customers. Our cookies and mobile advertising identifiers do not identify consumers directly, but allow for our customers to provide us access to such information, such as when a consumer is able to view or clicks on an advertisement, when a consumer uses a mobile app, the consumer’s location, and browser or other general device information. Publishers, buyers, third-party data providers, and partners may also choose to share their information about consumers’ interests or give us permission to use their cookies and mobile advertising identifiers. We use data from cookies, mobile device identifiers, and other tracking technologies to help advertisers decide whether to bid on, and how to price, an ad impression in a certain location, at a given time, for a particular consumer.</w:t>
      </w:r>
    </w:p>
    <w:p>
      <w:pPr>
        <w:spacing w:after="0" w:line="23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Without cookies, mobile advertising identifiers, and other tracking technology data, transactions processed through our platform would be executed with less insight into consumer preferences, reducing the precision of advertisers' decisions about which impressions to purchase for an advertising campaign. This could make advertising through our platform less valuable and decrease our revenue as advertising budgets may be decreased or directed to alternatives that are not exclusively reliant on cookies, mobile advertising identifiers, and other tracking technology data. If our ability to use cookies, mobile advertising identifiers or other tracking technologies is limited as a result of consumers rejecting targeted advertising, we may be required to develop or obtain additional applications and technologies to compensate for the lack of cookies, mobile advertising identifiers and other tracking technology data, which may not be available to us or could be time consuming or costly to develop, less effective, and subject to additional regulation.</w:t>
      </w:r>
    </w:p>
    <w:p>
      <w:pPr>
        <w:spacing w:after="0" w:line="6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 xml:space="preserve">Additionally, consumers can, with increasing ease, implement technologies that limit our ability to collect and use data to deliver targeted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w:t>
      </w:r>
      <w:r>
        <w:rPr>
          <w:rFonts w:ascii="Times New Roman" w:cs="Times New Roman" w:eastAsia="Times New Roman" w:hAnsi="Times New Roman"/>
          <w:sz w:val="14"/>
          <w:szCs w:val="14"/>
          <w:color w:val="008080"/>
        </w:rPr>
        <w:t>through browser-based global privacy controls (also known as universal opt out mechanisms), which are newly available as a result of changes to 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8080"/>
        </w:rPr>
        <w:t>state privacy laws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 xml:space="preserve">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or more regulators mandate the use of specific controls, it could reduce the volume or effectiveness and value of targeted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Mobile devices using Android and iOS operating systems </w:t>
      </w:r>
      <w:r>
        <w:rPr>
          <w:rFonts w:ascii="Times New Roman" w:cs="Times New Roman" w:eastAsia="Times New Roman" w:hAnsi="Times New Roman"/>
          <w:sz w:val="14"/>
          <w:szCs w:val="14"/>
          <w:color w:val="008080"/>
        </w:rPr>
        <w:t xml:space="preserve">do not operate with cookies, but with mobile advertising identifiers, and these operating system developers offer ways for consumers to limit the ability to track </w:t>
      </w:r>
      <w:r>
        <w:rPr>
          <w:rFonts w:ascii="Times New Roman" w:cs="Times New Roman" w:eastAsia="Times New Roman" w:hAnsi="Times New Roman"/>
          <w:sz w:val="14"/>
          <w:szCs w:val="14"/>
          <w:color w:val="000000"/>
        </w:rPr>
        <w:t>consumers while they are using</w:t>
      </w:r>
      <w:r>
        <w:rPr>
          <w:rFonts w:ascii="Times New Roman" w:cs="Times New Roman" w:eastAsia="Times New Roman" w:hAnsi="Times New Roman"/>
          <w:sz w:val="14"/>
          <w:szCs w:val="14"/>
          <w:color w:val="008080"/>
        </w:rPr>
        <w:t xml:space="preserve"> </w:t>
      </w:r>
      <w:r>
        <w:rPr>
          <w:rFonts w:ascii="Times New Roman" w:cs="Times New Roman" w:eastAsia="Times New Roman" w:hAnsi="Times New Roman"/>
          <w:sz w:val="14"/>
          <w:szCs w:val="14"/>
          <w:color w:val="000000"/>
        </w:rPr>
        <w:t>applications other than their web browser on the device. As a result, fewer mobile advertising identifiers may be be accessible in mobile devices, which could adversely impact our business.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deprecation of third-party cookies, and the potential of others to develop proprietary replacements for cookies, could adversely affect our business, results of operations, and financial condition.</w:t>
      </w:r>
    </w:p>
    <w:p>
      <w:pPr>
        <w:spacing w:after="0" w:line="3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Some prominent technology companies, including Google, have previously announced intentions to discontinue the use of third-party cookies, and to develop alternative methods and mechanisms for targeting advertisements, though the expected timeline for such changes is difficult to predict and has changed over time. While Google announced in July 2024 that it was discontinuing plans to phase out cookies in its Chrome browser, new identity solutions or alternatives are likely to continue to be a strong focus of Google and others. If companies are forced to rely on targeting methodologies other than cookies, such companies may instead rely on proprietary products, algorithms, or statistical methods to track consumers without cookies. Companies may also utilize log-in credentials entered by consumers into other web properties owned by those companies, such as their email services or other offerings, to track web usage, including usage across multiple devices.</w:t>
      </w:r>
    </w:p>
    <w:p>
      <w:pPr>
        <w:spacing w:after="0" w:line="23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Additionally, some companies may build different and potentially proprietary consumer tracking methods into their widely used web browsers, which we may not be able to effectively use for our publishers and buyers. Many applications and other content creators also allow consumers to avoid receiving advertisements by paying for subscriptions or other downloads. Although we believe our platform is well-positioned to adapt and continue to provide key data insights to our publishers without cookies, this transition could be more disruptive, slower, or more expensive than we currently anticipate, or publishers and buyers could elect to move a larger proportion of their advertising inventory or spend to these providers to take advantage of proprietary consumer tracking methods, any of which could materially affect our ability to serve our customers, publishers, and buyers, and our business, results of operations, and financial condition could be adversely affected.</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21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directly identify the individual, but includes pseudonymous identifiers and data regarding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collect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and is subject to a rapidly evolving regulatory framework that is not always consistent across geographies and jurisdictions. Evolving and conflicting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targeted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Because we do not generally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If publishers, buyers, or data providers do not follow the applicable requirements and processes or otherwise fail to secure any legally-required consents or provide required notice and choice mechanisms, which can be difficult given the rapidly evolving regulatory consent frameworks being promulgated, we could be subject to fines and liability. Additionally, if our data, privacy, or consent practices are found to be inadequate, or we make errors in the deployment of existing and future policies or safeguards, we may be subject to regulatory enforcement action or named in class-action lawsuits. We may not have adequate insurance or contractual indemnity arrangements to protect us against any such fines, penalties, claims, and losses.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Related to the Advertising Industry and Competition</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digital advertising ecosystem is competitive and complex due to a variety of factors. While programmatic header bidding and other digital advertising has enabled the purchasing and selling of vast amounts of digital advertising inventory, there are significant challenges related to proliferation of media across platforms, including maintaining competitive transaction speed, increased costs, transparency, and evolving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Some of our competitors have greater financial, technical, sales, and marketing resources, longer operating histories, and greater name recognition.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be able to provide. Some of our competitors may also choose to sell products or services competitive to ours at lower prices by accepting lower margins and profitability, or they may be able to sell competitive products or services at lower prices given proprietary ownership of data, technical superiority, or economies of scale. The introduction of competitive products, pricing strategies, or other technologies by our competitors that are superior to or that achieve greater market acceptance than our products and services could adversely affect our business.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experience requests from publishers and buyers for discounts, fee concessions, rebates,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Some of our competitors are also able or willing to agree to contract terms that expose them to risks that might be more appropriately allocated to publishers or buyers (including inventory risk and the risk of having to pay publishers for unsold advertising impressions, among others), and in order to compete effectively we might need to accommodate risks that could be costly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when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There has also been rapid evolution and consolidation in the advertising technology industry, and we expect these trends to continue, increasing the capabilities and competitive posture of larger companies, particularly those that already are dominant or have a greater market share than us, and enabling new or stronger competitors to emerge. Many publishers and buyers are large, consolidated organizations that may need to acquire other companies in order to grow. Smaller publishers and buyers may need to consolidate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pressure may reduce our revenue per impression.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revenue can be affected by market changes, new demands by publishers and buyers, new solutions, and competitive pressure. Our solutions may be priced too high or too low, or our pricing approaches may not be accepted, any of which may carry adverse consequences to our business and results of operations. We may receive requests from publishers for discounts, fee revisions, rebates, and refunds, or from DSPs, agencies and advertisers for volume discounts, fee revisions, and rebates. Any of these pressures from publishers or buyers can adversely affect our business, results of operations,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 fluctuations or market changes in digital advertising activity could adversely affect our business, results of operations, and financial condition.</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revenue, net cash provided by operating activities, results of operations, and other key operating and performance metrics vary from quarter to quarter due to the seasonal nature of digital advertising spending. For example, digital advertisers historically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The degree of seasonality in digital advertising spending can vary and be difficult to predict on a year-to-year or quarter-to-quarter basis. In addition, adverse economic conditions, inflation, changes in foreign exchange rates or interest rates, international trade tensions,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including, for example, as a result of Google’s deactivation of cookies or other similar events, our business, results of operations, and financial condition could be adversely affected.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our systems and the devices of our publishers and their consumers in order to misappropriate information, generate fraudulent billings,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quickly or at all. Further, perpetrators of fraudulent impressions and malware frequently change their tactics and can become more sophisticated over time, requiring both us and third parties to improve processes for assessing the quality of publisher inventory and controlling fraudulent activity. If we fail to timely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our ability to retain key members of our management team, and on our ability to hire, train, retain, and motivate new employees.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Further, as our business grows and we introduce new offerings, we may need to hire employees with skills and experience that we have not historically required.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increase employee turnover or reduce our ability to innovate, create, and operate effectively.</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payment-related risks if DSP buyers dispute or do not pay their invoices, and if DSPs file for bankruptcy protection or there are any decreases in payments, it could adversely affect our reputation, business, results of operations, and financial condition.</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have filed for bankruptcy protection, resulting in us not receiving payment. These challenges may be exacerbated by the overall market and economic volatility, inflation, changes in foreign exchange rates or interest rates, disruptions to supply chains, pandemics, epidemics or other public health crises, and the resulting economic impacts, as our buyers may experience financial difficulties and liquidity constraints. Some DSPs have historically carried relatively high debt obligations, and the maturity of that debt or changes in interest rates may negatively impact the liquidity of those DSPs and their ability to timely pay us. In certain cases, buyers have been unable to timely make payments and we have suffered financial losses, including in June 2023 when MediaMath declared bankruptcy, which led us to record a bad debt expense of $5.7 million. While our contracts generally do not contain such exposure, there are certain agreements under which we may be responsible for the whole amount of contracted spending, whether or not ultimately paid by the buyer.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a prolonged economic downturn or prolonged period of elevated interest rates may lead additional buyers to slow or default on payments or in some cases seek bankruptcy protection. We cannot assure you that we will not experience bad debt in the future, and write-offs for bad debt could adversely affect our business, results of operations, and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more strategic uses of that working capital.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subject us to additional costs and risks, and our continued international expansion may not be successful.</w:t>
      </w:r>
    </w:p>
    <w:p>
      <w:pPr>
        <w:spacing w:after="0" w:line="5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compliance, and financial infrastructure. The costs and risks inherent in conducting business internationally include, but are not limited to:</w:t>
      </w:r>
    </w:p>
    <w:p>
      <w:pPr>
        <w:spacing w:after="0" w:line="8"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and costs associated with maintaining effective controls at foreign locations;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adapting our platform and solutions to non-U.S. publishers’ preferences and customs;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other delays and difficulties in setting up foreign operations, including difficulties in hiring personnel with skill sets and experience that match our international expansion efforts;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anti-bribery laws and regulations, export and import control and economic sanctions, laws and regulations;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foreign data privacy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domestic and foreign bulk data transfer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instability in some countries, including as a result of the conflict in Ukraine or a resumption of the conflict between Israel and Palestine;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disputes among countries, and changes in international trade volumes or pricing;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laws of numerous taxing jurisdictions.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we continue to expand our business globally, our success will depend, in large part, on our ability to anticipate and effectively manage these risks. These factors and others, and the costs associated with any failure to effectively manage risks and comply with local laws and regulations, could harm our ability to increase international revenues and, consequently, could adversely affect our business, results of operations, and financial condition.</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37" w:lineRule="exact"/>
        <w:rPr>
          <w:sz w:val="20"/>
          <w:szCs w:val="20"/>
          <w:color w:val="auto"/>
        </w:rPr>
      </w:pPr>
    </w:p>
    <w:p>
      <w:pPr>
        <w:jc w:val="both"/>
        <w:ind w:firstLine="255"/>
        <w:spacing w:after="0" w:line="284" w:lineRule="auto"/>
        <w:rPr>
          <w:sz w:val="20"/>
          <w:szCs w:val="20"/>
          <w:color w:val="auto"/>
        </w:rPr>
      </w:pPr>
      <w:r>
        <w:rPr>
          <w:rFonts w:ascii="Times New Roman" w:cs="Times New Roman" w:eastAsia="Times New Roman" w:hAnsi="Times New Roman"/>
          <w:sz w:val="14"/>
          <w:szCs w:val="14"/>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1"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hiring and retaining engineering and management resources due to intense competition for such resources and resulting wage inflation;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heightened exposure to changes in economic, health, security, and political conditions in India;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tax compliance in India.</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Accordingly, it may be harder in the future to achieve labor-related cost efficiencies that we have historically benefited from.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third-party data centers, the disruption of which could adversely affect our business, results of operations, and financial condition.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on our platform.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Increasing data center capacity requires physical plant expansion and the procurement of additional equipment, which can take a year or more to accomplish. Accordingly, if there is a rapid increase in our need for data center capacity, we may not be able to increase our capacity quickly enough to meet the needs of publishers or our business, which could adversely affect our business, results of operations, and financial condition.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and sophisticated, and could involve denial-of-service attacks or other maneuvers that have the effect of disrupting the availability of services on our platform.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Additionally, we rely on third party software providers for the delivery of certain of our services and offerings, and a disruption to those providers, whether an outage, cybersecurity attack, or otherwise, could adversely affect our business, results of operations, and financial condition.</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example, changes to our solution have in the past caused errors in the measurements of transactions conducted through our platform, resulting in disputes raised by publishers. Errors or failures in our offerings, even if caused by the implementation of changes by publishers or partners to their systems, could also result in negative publicity, damage to our reputation, loss of or delay in market acceptance of our offerings,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continued business success depends upon our ability to offer high-quality inventory with appropriate viewability capabilities.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Maintaining high-quality inventory may become increasingly difficult with the advent and proliferation of “deep fake” video and other media produced using artificial intelligence (“AI”). If we fail to maintain high quality controls for our publishers and partners, our business, results of operations, and financial condition could be adversely affected.</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part of our growth strategy, we may acquire or invest in other businesses, assets, or technologies that we believe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8"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integrating the operations, technologies, product or service offerings, administrative systems, and personnel of acquired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or incompatibility of acquired technologies or solutions;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loss of key employees of the acquired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maintain key business relationships and reputation of the acquired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arising from the acquisition or the activities of the acquired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generate the expected financial results related to an acquisition in a timely manner or at all;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accurately forecast the impact of an acquisition;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implementation or remediation of effective controls, procedures, and policies for acquired businesses.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and we may not have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and transfer practices. Nonetheless, there are many circumstances in which it is difficult or impossible for us to monitor or evaluate compliance by our publishers, buyers, data providers, and partners.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In such an event, consumers may look to PubMatic to recover any alleged damages as a result of publishers’ use of limitations or disclaimers of liability through their terms of use with consumers. Similarly, if such misconduct results in enforcement action by a regulatory body or other governmental authority, we could become involved in a potentially time-consuming and costly investigation or we could be subject to litigation or some form of sanction or penalty. We may not have adequate indemnity to protect us against, and our insurance policies, may not cover, such claims and losses.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February 2023, our board of directors authorized and approved a program pursuant to which we could repurchase up to $75.0 million in aggregate of shares of our Class A common stock, with the authorization to expire on December 31, 2024 (the “2023 Repurchase Program”). On February 22, 2024, our board of directors authorized an increase and extension to the 2023 Repurchase Program from $75.0 million to $175.0 million through December 31, 2025 (the “2024 Repurchase Program”). As of December 31, 2024, we have repurchased approximately $134.6 million of our Class A common stock in aggregate under both the 2023 Repurchase Program and 2024 Repurchase Program. Although our board of directors authorized the 2024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for example, volatile interest rates, inflation, and geopolitical uncertainty. The 2024 Repurchase Program may be modified, suspended, or terminated at any time, and we cannot guarantee that the 2024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 of catastrophic events such as pandemics, earthquakes, flooding, fire, and power outages, and to interruption by man-made problems such as acts of war and terrorism.</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and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operate our business and either directly or indirectly disrupt publishers’ and partners’ businesses, which could adversely affect our business, results of operations, and financial condition.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3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We incorporate AI solutions into our development efforts and specialized cloud software, including audience solutions, and these applications and the use of AI may become more important in our operations over time.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Our competitors or other third parties may incorporate AI into their products and offerings more quickly or more successfully than us, which could impair our ability to compete effectively and adversely affect our results of operations. Furthermore, the integration of third-party AI models with our products and services relies on certain safeguards implemented by the third-party developers of the underlying AI models. If the content, analyses, or recommendations that AI applications assist in producing are or are alleged to be inaccurate, deficient, or biased, our business, financial condition, and results of operations may be adversely affected. Additionally, AI applications generally state they do not use personal data or other classes of protected data, but we may not know the source of data used by an AI application and may inadvertently incorporate personal information, or data derived from personal data, in the course of using an AI application. The use of AI applications has resulted in, and may in the future result in, cybersecurity incidents that implicate the sensitive data of customers analyzed within such applications. Any such cybersecurity incidents related to our use of AI applications for analysis of sensitive data could adversely affect our reputation and results of operations. If we include portions of our proprietary information when using AI tools, that information may enter the public domain and we may lose the ability to protect such proprietary information. AI also presents emerging ethical issues and if our use of AI becomes controversial, we may experience brand or reputational harm, competitive harm, or legal liability. The rapid evolution of AI, including potential government regulation of AI and its various uses, will require significant resources to develop, test, and maintain our intelligence cloud platform, offerings, services, and features to help us implement AI ethically in order to minimize unintended, harmful impact.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receive, store, and process data about or related to consumers in addition to publisher, buyer, partner, employee, and services provider or vendor data. Our handling of this data is subject to numerous federal, state, and foreign laws and regulations that are constantly evolving and not always consistent across jurisdictions. We are also subject to regulation by various governmental authorities in addition to federal and state regulations. Our data handling is further subject to contractual obligations and may be deemed to be subject to industry standards and trade associations.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U.S. federal government and various state and foreign governments have adopted or proposed limitations on the collection, distribution, use, and storage of data relating to individuals, including the use of contact information, precise geolocation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These regulatory regimes are constantly evolving and not always interpreted in a consistent manner.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4"/>
          <w:szCs w:val="14"/>
          <w:color w:val="auto"/>
        </w:rPr>
        <w:t>The regulatory framework for data privacy worldwide is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have been placed upon the collection, management, aggregation, transfer, and use of information, and compliance with those restrictions may require us to change how we collect, manage, aggregate, transfer, and use data in the future,</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which could result in a material increase in the cost of collecting or otherwise obtaining certain kinds of data. These restrictions could further limit the ways in which we may use or disclose information or may require us to make changes to our offerings, which could adversely affect our business, results of operations, and financial condition.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have come under increasing scrutiny by legislative, regulatory, and self-regulatory bodies in the United States and abroad that focus</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consumer protection or data privacy. In addition, the steps taken by companies to de-identify personal data, to use and distribute the resulting data, including for purposes of personalization and the targeting of advertisements, have also been a frequent target of scrutiny by these authorities. Much of the related regulatory activity has focused on the use of cookies and other technology to collect information about Internet users’ online browsing activity on web browsers, mobile devices, and other devices, to associate such data with user or mobile advertising identifiers or de-identified identities across devices and channels. There is also increased regulatory focus on the use of geolocation data that aims to limit what can be collected, what kind of consent may be required with respect to the same, and how such data may be used, exchanged, or disclosed to others.</w:t>
      </w:r>
    </w:p>
    <w:p>
      <w:pPr>
        <w:spacing w:after="0" w:line="58"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In addition to governmental authorities,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22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United States, the U.S. Congress and state legislatures, along with federal regulatory authorities, have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 It is uncertain what steps the second Trump Administration in the United States may take to expand, curtail, or alter the current federal regulatory regime in which we operate.</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California enacted the California Consumer Privacy Act (as amended, “CCPA”) which took effect in January 2020. The CCPA created individual privacy rights for California residents, including rights of deletion and access, and increased the privacy and security obligations of businesses handling personal data. The CCPA is also still enforceable by the California Attorney General, and there is a CCPA private right of action relating to certain data security incidents. The CCPA generally requires covered businesses to, among other things, provide disclosures to California consumers regarding the collection, use and disclosure of their personal data. The CCPA also affords California consumers the ability to opt-out of certain sales of personal data, a concept that is defined broadly and is subject to evolving regulations promulgated initially by the California Attorney General, and now the California Privacy Protection Agency (“CPPA”), a newly created agency charged with CCPA rulemaking and enforcement.</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CCPA amendments have also imposed additional data protection obligations on companies doing business in California, including additional consumer rights processes and opt-outs for certain uses of sensitive data and “sharing” of personal data for cross-context behavioral advertising. The effects of the CCPA, including from expected but not yet promulgated regulations, are potentially significant and may require us to modify our data collection or processing practices and policies and to incur substantial costs and expenses in an effort to comply, which will increase our potential exposure to regulatory enforcement and/or litigation. Decreased availability and increased costs of information due to implementing the CCPA, could adversely affect our ability to meet our customers’ requirements and could have an adverse effect on our business, results of operations, and financial condition.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008080"/>
        </w:rPr>
        <w:t>In addition to regulations under the CCPA, the California Privacy Protection Agency have also promulgated regulations as a result of the California Delete Act, which applies to those entities defined as ‘data brokers’ under the CCPA amendments. The Delete Act requires the CPPA to establish an accessible data deletion mechanism by January 1, 2026, to allow California consumers to submit a single verifiable consumer request to delete their data across all data brokers. By providing an opportunity for mass data subject requests, the Delete Act imposes compliance and operational costs and has the potential to limit the availability of personal data that PubMatic may utilize for targeted advertising.</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CCPA has encouraged “copycat” laws in other states across the country. Following California’s lead, over a third of other U.S. states have enacted comprehensive consumer privacy laws as well as privacy laws targeted at specific industries or types of data, and at data brokers specifically. Numerous other states have or are in the process of passing their own privacy or privacy-adjacent laws. Compliance with new privacy legislation adds complexity and may require investment in additional resources for compliance programs, thus potentially resulting in additional costs and expense of resources to maintain compliance. We cannot yet fully predict the impact of such state laws or subsequent guidance on our business or operations, but it may require us to further modify our data processing practices and policies and to incur substantial costs and expenses in an effort to comply, including the opportunity cost of devoting resources to developing compliance solutions over expanded platform capabilities. New and proposed legislation has added and may in the future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In some cases, different regulatory regimes may interpret certain practices differently, and there may be contradiction among the regimes in which we operate. Although proposals are regularly introduced in Congress, it remains to be seen whether the U.S. will implement comprehensive federal consumer privacy legislation.</w:t>
      </w:r>
    </w:p>
    <w:p>
      <w:pPr>
        <w:spacing w:after="0" w:line="6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Europe, the GDPR took effect on May 25, 2018, and applies to products and services that we provide in Europe, as well as the processing of personal data of European Union (“EU”) citizens, wherever that processing occurs. The United Kingdom (“U.K.”) implemented the Data Protection Act, effective May 2018, and statutorily amended it in 2019 to contain provisions, including its own derogations, for how GDPR is applied in the U.K. post-Brexit (the “UK GDPR”). The GDPR includes operational requirements for companies that receive or process personal data of residents of the EU. For example, we are required to offer consent mechanisms to data subjects in Europe before processing data for certain aspects of our service. Failure to comply with GDPR may result in significant penalties for non-compliance of up to the greater of €20 million (£17.5 million in the U.K.)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6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 European regulators continue to be focused on compliance with requirements in the online behavioral advertising ecosystem and enforcing national laws that implement the ePrivacy Directive (commonly called the “Cookie Directive”) in those ecosystems. European court decisions and regulators’ recent guidance continue to drive increased attention to cookies and tracking technologies. As regulators start to enforce a stricter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w:t>
      </w:r>
    </w:p>
    <w:p>
      <w:pPr>
        <w:spacing w:after="0" w:line="5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IAB Europe previously collaborated with the digital advertising industry to create a user-facing framework (the Transparency and Consent Framework, or “TCF”) for establishing and managing legal bases under the GDPR and other U.K. and EU privacy laws including the ePrivacy Directive. In February 2022, the Belgian Data Protection Authority (“DPA”) issued an order against IAB Europe that imposes specific remedies on IAB Europe and its operation of TCF. IAB Europe appealed the Belgian DPA’s decision, and the Belgian Market Court issued an interim ruling on the appeal and referred preliminary questions to the CJEU for guidance. IAB Europe subsequently issued an updated version of the TCF, and following the CJEU’s March 2024 ruling, the appeal remains in the Belgian Market Court on the substantive questions posed.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addition, some countries, including India, Brazil, Thailand, and Japan, are considering or have passed legislation implementing data protection requirements or requiring local storage and processing of data or similar requirements that could increase the cost and complexity of delivering our services or force us to change business practices to conform to local law. The U.S. federal government has additionally added restrictions on the flow of certain data to China and other so called “countries of concern” which has the potential to limit with whom we may partner or the data we are able to share with certain partners. Any failure to achieve required data protection standards (which are not currently clear when applied to the online advertising ecosystem) may result in lawsuits, regulatory fines, or other actions or liability, all of which may harm our results of operations and revenue opportunities. Because the interpretation and application of privacy and data protection laws, such as the CCPA and GDPR, and their related regulations and standards, are potentially uncertain and may be different across jurisdictions, it is possible that these laws, regulations and standards may be interpreted and applied in manners that are, or are asserted to be, inconsistent with our data management practices or the technological features of our solutions.</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especially in light of recent elections both in the United States and in foreign jurisdictions.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56"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008080"/>
        </w:rPr>
        <w:t>The collection and processing of health-related data presents heightened compliance risks due to the broad and ambiguous language of emerging privacy laws such as Washington’s My Health My Data Act (“MHMD”) and the Nevada Consumer Health Data Law. These laws expand the definition of “consumer health data” far beyond traditional medical information, potentially encompassing data points that are commonly used in digital advertising, such as location data, app usage, and browsing history when linked to health-related interests. Unlike HIPAA, which applies to specific entities such as healthcare providers, these new state laws cast a wider net, creating uncertainty around what constitutes health data and how it must be handled. Compliance obligations, including obtaining explicit consumer consent, offering broad deletion rights, and imposing strict contractual restrictions on data sharing, introduce operational complexity and potential liability for companies such as ours. Additionally, these laws contain private rights of action, exposing businesses to costly class action lawsuits even in cases where health-related data is inadvertently inferred rather than explicitly collected. As enforcement of these regulations ramps up, our company must continuously assess and adapt our data practices to mitigate risk, which may require limiting certain data-driven advertising use cases or investing in additional compliance infrastructure, impacting operational efficiency and revenue opportunities.</w:t>
      </w:r>
    </w:p>
    <w:p>
      <w:pPr>
        <w:spacing w:after="0" w:line="6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being imposed on us.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uncertainty and industry unpreparedness for new regulations may mean substantial disruption and inefficiency, demand constraints, and reduced inventory supply and value.</w:t>
      </w:r>
    </w:p>
    <w:p>
      <w:pPr>
        <w:spacing w:after="0" w:line="9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Some of our publishers may be unprepared to comply with the evolving complexity established as a result of an abundance of state, national, and other privacy laws and regulations which are no longer solely limited to the CCPA, GDPR, and the UK GDPR, and which may result in removing or limiting personal data from their inventory before passing it into the bid stream. This may lower their inventory, at least temporarily, resulting in loss of ad spend and revenue for us. Further, since we do not have direct relationships with end users, we rely on publishers to obtain such consents as required and may be subject to liability, including fines, lawsuits, and other penalties, if they fail to adhere to evolving consent requirements. While we can and do provide training and guidance on compliance, the nature of the digital advertising ecosystem and technology, without direct access to the end user, does not support 100% verification that consent from end users has been obtained, when required by applicable law or regulations, and we may inadvertently process personal data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compliance programs and integrate with multiple other parties in the ecosystem. Further, compliance program design and implementation will be an ongoing process as understanding of the CCPA, CPRA, GDPR, UK GDPR, increasing numbers of U.S. state privacy laws, or other emerging regulations and industry compliance standards, evolves and companies address sometimes conflicting compliance guidance. In addition to California, over a third of U.S. states have enacted regulations that may apply to our business, and we expect more state legislatures or regulatory agencies to do the same. The resulting process friction could result in substantial inefficiency and loss of inventory and demand, as well as increased burdens upon our organization as we seek to assist customers and adapt our own technology and processes as necessary to comply with laws and regulations and adapt to industry practice. The uncertain regulatory environment caused by the CCPA, GDPR, UK GDPR, increasing numbers of U.S. state privacy laws, or other emerging regulations may disadvantage us in comparison to larger, integrated competitors such as Google and Meta (Facebook), which have greater compliance resources and can take advantage of their direct relationships with end users to secure consent directly from those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27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Recent legal developments in Europe have introduced uncertainty for transferring personal data from the European Union to the United States, which may require us to change our EU data practices.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GDPR generally prohibits the transfer of personal data of EU subjects outside of the European Union to another country that the European Commission does not recognize as offering an adequate level of data protection unless a lawful data transfer mechanism has been implemented or a data transfer derogation applies. On July 10, 2023, the European Commission adopted an adequacy decision for the EU-U.S. Data Privacy Framework (“DPF”) as a valid transfer mechanism for data transfers to the United States, and we have self-certified to comply with the EU - U.S. Data Privacy Framework, the UK Extension to the EU-U.S. Data Privacy Framework, and the Swiss-U.S. Data Privacy Framework as a mechanism to legally facilitate personal data transfers from the EU, the U.K., and Switzerland to the U.S. This new Data Privacy Framework could be subject to legal challenge in front of the Court of Justice for the European Union (the “CJEU”), where non-governmental organizations successfully litigated to invalidate previous framework, known as Privacy Shield, in 2020.</w:t>
      </w:r>
    </w:p>
    <w:p>
      <w:pPr>
        <w:spacing w:after="0" w:line="6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008080"/>
        </w:rPr>
        <w:t>Specifically, recent developments have introduced potential challenges to the stability of the DPF. On January 27, 2025, the Trump administration dismissed all three Democratic members of the Privacy and Civil Liberties Oversight Board (PCLOB), the independent agency responsible for overseeing U.S. surveillance activities and ensuring they align with privacy and civil liberties standards. This action has left the PCLOB without a quorum, effectively incapacitating its ability to function and fulfill its oversight responsibilities.</w:t>
      </w:r>
    </w:p>
    <w:p>
      <w:pPr>
        <w:spacing w:after="0" w:line="5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008080"/>
        </w:rPr>
        <w:t>The operational status of the PCLOB was a significant factor in the European Commission's decision to adopt the DPF. The current limited functionality of the PCLOB raises concerns about the continued viability of the DPF and may prompt legal challenges, including potential scrutiny by the Court of Justice of the European Union (CJEU).</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Standard Contractual Clauses (“SCCs”) is an alternative transfer measure that we also offer to our EU and UK customers for cross-border data transfers that was upheld as a valid legal mechanism for transnational data transfers by the CJEU in 2020. However, the ruling requires that organizations seeking to rely on the SCCs to export data out of the European Union must ensure the data is protected to a standard that is “essentially equivalent” to that in the European Union, including, where necessary, by taking “supplementary measures” to protect the data. Although “supplementary measures” are not explicitly defined, it is possible that European data protection authorities may determine that there are no supplementary measures that can legitimize EU-US data transfers. For the time being, we will rely on the DPF and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further updated the SCCs to require additional information for cross-border data transfers. It remains possible that the SCCs may be later determined inadequate to cover our use of cookies and other tracking technologies placed directly on consumer’s browsers or devices through our publishers or buyers’ websites.</w:t>
      </w:r>
    </w:p>
    <w:p>
      <w:pPr>
        <w:spacing w:after="0" w:line="6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Depending on evolving legal developments, we may need to restructure our transfers of European data via another European subsidiary and have such entity enter into SCCs with other group entities and implement “supplementary measures” to ensure the continuing flow of data from the European Union to the United States. In the event that use of the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UK GDPR and could increase the cost and complexity of operating our business.</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collect, maintain, transmit and store data about consumers, employees, partners and others, including personal and other confidential information.</w:t>
      </w:r>
    </w:p>
    <w:p>
      <w:pPr>
        <w:spacing w:after="0" w:line="9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higher transaction fees, or limit or terminate our access to certain payment methods. We and such third parties might not anticipate, prevent, or detect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can increase over time as the complexity and number of technical systems and applications we use also increases.</w:t>
      </w:r>
    </w:p>
    <w:p>
      <w:pPr>
        <w:spacing w:after="0" w:line="6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Breaches of our security measures or those of our third-party service providers on whom we rely or other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investigations, fines or penalties, and other potential liabilities. In the future, we or our third-party service providers may experience social engineering, ransomware, phishing, malware and similar attacks and threats of denial-of-service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attacks and such attacks could have a material adverse effect on our operations and financial condition.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data, resulting in the perception that our systems are insecure.</w:t>
      </w:r>
    </w:p>
    <w:p>
      <w:pPr>
        <w:spacing w:after="0" w:line="5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incidents, will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industry self-regulation could adversely affect our business, results of operations, and financial condition.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to complying with government regulations, we participate in trade associations and industry self-regulatory groups such as the Interactive Advertising Bureau, the Trustworthy Accountability Group, the Digital Advertising Alliance, and the Networking Advertising Initiative that promote best practices or codes of conduct addressing privacy and consumer transparency in interest-based advertising.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w:t>
      </w:r>
    </w:p>
    <w:p>
      <w:pPr>
        <w:spacing w:after="0" w:line="5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Some </w:t>
      </w:r>
      <w:r>
        <w:rPr>
          <w:rFonts w:ascii="Times New Roman" w:cs="Times New Roman" w:eastAsia="Times New Roman" w:hAnsi="Times New Roman"/>
          <w:sz w:val="14"/>
          <w:szCs w:val="14"/>
          <w:color w:val="008080"/>
        </w:rPr>
        <w:t>of these self-regulatory bodies have the ability to discipline members or participants, which could result in fines, penalties, and/or public censure (which could in turn cause reputational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8080"/>
        </w:rPr>
        <w:t>harm) being imposed on us. Additionally, some of these self-regulatory bodies might refer violations of their requirements to the U.S. Federal Trade Commission or other regulatory bodies. Therefore, a</w:t>
      </w:r>
      <w:r>
        <w:rPr>
          <w:rFonts w:ascii="Times New Roman" w:cs="Times New Roman" w:eastAsia="Times New Roman" w:hAnsi="Times New Roman"/>
          <w:sz w:val="14"/>
          <w:szCs w:val="14"/>
          <w:color w:val="000000"/>
        </w:rPr>
        <w:t>ny representations that we make regarding our adherence to self-regulatory standards could result in regulatory action if we fail to meet such representations. Any regulatory action</w:t>
      </w:r>
      <w:r>
        <w:rPr>
          <w:rFonts w:ascii="Times New Roman" w:cs="Times New Roman" w:eastAsia="Times New Roman" w:hAnsi="Times New Roman"/>
          <w:sz w:val="14"/>
          <w:szCs w:val="14"/>
          <w:color w:val="008080"/>
        </w:rPr>
        <w:t xml:space="preserve"> </w:t>
      </w:r>
      <w:r>
        <w:rPr>
          <w:rFonts w:ascii="Times New Roman" w:cs="Times New Roman" w:eastAsia="Times New Roman" w:hAnsi="Times New Roman"/>
          <w:sz w:val="14"/>
          <w:szCs w:val="14"/>
          <w:color w:val="000000"/>
        </w:rPr>
        <w:t>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regulations, and industry best practices, or any industry guidelines or codes with regard to privacy or the provision of Internet advertising, our reputation may suffer and we could lose market share or relationships with our publishers, buyers, or others.</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to government regulation, privacy advocates and industry groups may propose new and different self-regulatory standards that may apply to us, and are constantly evolving in the United States, European Union, and other jurisdictions.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change our offerings or business activities and practices or modify our software, any of which could have an adverse effect on our business, results of operations, and financial condition.</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subject to various U.S. export control and trade and economic sanctions laws and regulations, including the U.S. Export Administration Regulations and the various sanctions programs administered by the U.S. Department of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Treasury’s Office of Foreign Assets Control (collectively, “Trade Controls”). U.S. Trade Controls may prohibit the shipment of specified products and services to certain countries, governments, and persons. Although we endeavor to conduct our business in compliance with Trade Controls, our limited ability to oversee and control the inventory of our channel partners or our failure to successfully comply may expose us to negative legal and business consequences, including civil or criminal penalties, governmental investigations, and reputational harm.</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certain markets or prevent our customers with international operations from deploying our platform globally. Any change in export or import regulations, global trade activity,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party claims if our publishers or buyers do not have sufficient rights to the content, technology, data, or other material associated with an ad impression that they provide, or if it infringes or is alleged to infringe the intellectual property rights of other parties. We may also face allegations that our employees have misappropriated or divulged the intellectual property of their former employers or other third parties. Regardless of whether claims that we are infringing on the intellectual property rights of others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Due to the cost of litigation, we may choose to enter into license agreements with third parties alleging infringement even when we do not believe our business, platform, or services infringe on third parties’ intellectual property rights. Results of intellectual property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rely upon a combination of trade secrets protections, third-party confidentiality and non-disclosure agreements, contractual restrictions on disclosure and use, and trademark, copyright, patent, and other intellectual property laws to establish and protect our proprietary technology and intellectual property rights. We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or products may be limited. Historically, we have prioritized keeping our technology architecture, trade secrets, and engineering roadmap private and confidential,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cannot guarantee that others will not independently develop technology with the same or similar functions to our proprietary technology that we rely on to conduct our business and differentiate ourselves from our competitors. Unauthorized parties may also attempt to copy or obtain and use our technology to develop applications with the same functionality as our offerings, and policing unauthorized use of our technology and intellectual property rights is difficult, time-consuming, and costly,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offerings) we may find ourselves at a competitive disadvantage to others who have not incurred the same level of expense, time, and effort to create and protect their intellectual property, which could adversely affect our business, results of operations, and financial condition.</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While it is our policy to protect and defend our rights to our intellectual property, especially via trade secrets protections,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customer agreements generally restrict the use of our confidential information solely to such customer’s use in connection with its use of our offerings. In spite of such limitations, reverse engineering our software and feature sets, or the theft or misuse of our confidential information, could occur by customers or other third parties who have access to our technology, and we may fail to detect such theft or misuse in a timely manner.</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such employees or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contractors end their relationship with us, and, in some cases, decide to work for our competitors. Enforceability of the non-compete agreements that we have in place is not guaranteed, and contractual restrictions could be breached without us becoming aware of such breach or adequate remedies available to 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licenses to use the intellectual property rights of third parties to conduct our business.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harm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cost, effort, and time, and ultimately put us at a competitive disadvantage.</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Although we monitor our use of open source software to avoid subjecting our platform to conditions we do not intend or requirements to disclose source code,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offerings on terms that are not economically feasible, to re-engineer our solution or the supporting computational infrastructure to discontinue use of code, or to make generally available, in source code form, portions of our proprietary code.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Financial and Accounting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effective internal controls, our ability to produce accurate financial statements and other disclosures on a timely basis could be impaired.</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have a negative effect on the trading price of our Class A common stock. In addition, if we are unable to continue to meet these requirements, we may not be able to remain listed on the Nasdaq Global Market.</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could have a negative effect on the trading price of our Class A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agreement contains operating and financial covenants that may restrict our business and financing activities.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of December 31, 2024, we had no outstanding borrowings under our Senior Secured Credit Facilities Credit Agreement (the “Credit Agreement”) with Silicon Valley Bank (“SVB”). 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dispositions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we do not have or are unable to generate sufficient cash to repay our debt obligations when they become due and payable, either upon maturity or in the event of a default, it could negatively impact our ability to operate and continue our business as a going concern. Additionally, if we are unable to repay our debt obligations under the Credit Agreement, we may not be able to obtain additional future debt or equity financing on favorable terms, if at all, which could negatively impact our ability to operate and continue our business as a going concern.</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March 10, 2023, SVB was closed by the California Department of Financial Protection and Innovation and subsequently appointed the Federal Deposit Insurance Corporation (“FDIC”) as receiver. Similarly, on March 12, 2023, Signature Bank and Silvergate Capital Corp. were each swept into receivership. While the FDIC has taken steps to make whole all depositors of SVB, there is no assurance that similar guarantees will be made in the event of further bank closures or instability in the global banking system. If other banks and financial institutions enter receivership or become insolvent in the future in response to financial conditions affecting the banking system and financial markets, then our ability to obtain financing may be threatened, which could have a material adverse effect on our business and financial condition. Moreover, events such as the closure of SVB, in addition to other global macroeconomic conditions, may cause further disruptions and uncertainty in the capital markets.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tax liabilities may be greater than anticipated.</w:t>
      </w:r>
    </w:p>
    <w:p>
      <w:pPr>
        <w:spacing w:after="0" w:line="9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U.S. and non-U.S. tax laws applicable to our business activities are subject to interpretation and change.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various jurisdictions have threatened to impose laws that tax specified digital services, which may increase our tax obligations in such jurisdictions. Many countries have adopted changes to their tax laws based on the model rules adopted by The Organization for Economic Cooperation and Development defining a 15% global minimum tax (commonly referred to as Pillar 2) that could increase our tax obligations in countries where we do business or cause us to change the way we operate our business.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have made and will continue to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changes could affect our effective tax rate and future profitability.</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are subject to federal, state, and local taxes in the United States, and we are subject to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 For example, the United States tax legislation commonly referred to as the Tax Cuts and Jobs Act of 2017 (the “Tax Act”) (as modified by the Coronavirus Aid, Relief, Economic Security Act, the Families First Coronavirus Response Act and the American Rescue Plan Act), significantly reformed the Internal Revenue Code of 1986, as amended, reducing U.S. federal tax rates, making sweeping changes to rules governing international business operations, and imposing significant additional limitations on tax benefits, including the deductibility of interest and the capitalization of research and development expenses. In addition, the Inflation Reduction Act of 2022 (the “Inflation Reduction Act”) imposes a 15% corporate alternative minimum tax and 1% excise tax on repurchases of corporate stock. We anticipate further changes in the tax laws of the United States in the future.</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Tax proposals and enactments worldwide include changes to the existing framework in respect of income taxes, limitations on the ability of taxpayers to claim and utilize tax benefits, as well as new types of non-income taxes (such as taxes based on a percentage of revenue or taxes applicable to digital services). For example, the Organisation for Economic Co-operation and Development proposed introduction of the global minimum tax standard. Due to the large and expanding scale of our international business activities, these types of changes to the taxation of our activities could impact the tax treatment of our foreign earnings, increase our worldwide effective tax rate, increase the amount of taxes imposed on our business, and impact our financial position.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Class A common stock has been and may continue to be volatile and could subject us to litigation.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51"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 price and trading volume of technology companies in general and of companies in the digital advertising industry in particular;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solutions or technologies, commercial relationships, acquisitions, or other events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trading volume of our shares or the size of our public float;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 actual or anticipated changes or fluctuations in our results of operations or financial projections;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actual or future expectations of investors or securities analysts;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regulatory developments or actions, or litigation involving us, our industry, or both;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 or catastrophic events in our domestic and foreign markets.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January 31, 2025, our directors and officers, and their respective affiliates, beneficially owned in the aggregate approximately 68.3%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charter documents and Delaware law could discourage takeover attempts and other corporate governance changes.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restated certificate of incorporation, as amended (the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8" w:lineRule="exact"/>
        <w:rPr>
          <w:sz w:val="20"/>
          <w:szCs w:val="20"/>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issue shares of preferred stock without stockholder approval, which could be used to significantly dilute the ownership of a hostile acquirer;</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effective upon such time as the outstanding shares of our Class B common stock represent less than a majority of the combined voting power of our common stock;</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chairman of the board, our chief executive officer, our lead director, or a majority of our board;</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amend the bylaws, which may allow it to take additional actions to prevent an unsolicited takeover and inhibit the ability of an acquirer;</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or to propose matters to be acted upon at a stockholders’ meeting; and</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recognize the importance of maintaining the trust and confidence of our publishers, buyers, partners, customers, and employees. The Audit Committee of our Board (“Audit Committee”) is responsible for oversight of the Company’s cybersecurity function and efforts, and receives quarterly updates from management regarding the Company’s cybersecurity policies, standards, processes, and practices.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Our cybersecurity risk management program is overseen by our Senior Vice President, Infrastructure and Security (“SVP Security”), who also serves as our Information Security Officer, our executive management team, and our Board through the Audit Committee.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maintain a cross-functional cybersecurity program to identify, prevent, and mitigate cybersecurity threats and incidents. The program also includes implementing controls and procedures that provide for the prompt escalation of certain cybersecurity incidents so that decisions regarding the public disclosure and reporting of such incidents can be made by management in a timely manner.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Policies and Framework</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cybersecurity efforts are governed by a set of policies to address data protection and security incident management, and overseen by our Security Incident Management Team (“SIMT”). Our policies are closely based on recognized frameworks established by the National Institute of Standards and Technology (“NIST”), the International Organization for Standardization (“ISO”) and other applicable industry standards, and we expect to review them at least annually. Our information technology standards and infrastructure safeguards include information security standards prescribed for use by NIST, security measures aligned with the ISO/IEC 27000 series of standards, the Sarbanes-Oxley Act and SSAE 18/ISAE 3402, privacy regulations compliance, and other generally recognized industry standards, in each case, designed to safeguard the confidentiality, integrity and availability of our infrastructure and data and the resiliency of our operations.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these policies, we deploy technical safeguards that are designed to protect our information systems from cybersecurity threats, including firewalls, anti-malware functionality and access controls, which are evaluated and improved through vulnerability assessments and cybersecurity threat intelligence.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maintain a risk-based approach to identify and oversee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Incident Response and Recovery Planning</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established and maintain incident response and recovery plans and procedures that address our response to a known or potential cybersecurity incident, including in our systems and those that occur on third-party systems that we use. These plans and procedures include the notification and escalation processes, the investigation and containment process, the evaluation, review, and remediation process for a known or potential cybersecurity incident, and a process to assess the materiality of an incident.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incident response and recovery planning are overseen by the SIMT and Company personnel who become aware of an incident or potential incident are required to notify the SIMT. The SIMT is comprised of senior members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and subject matter experts and is responsible for overseeing our cybersecurity program and our response to any cybersecurity incidents.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Periodic Review, Testing and Training</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our policies, we perform periodic assessments and tests of the application of our policies, standards, processes, and practices that are designed to address cybersecurity threats and incidents. These efforts include a range of activities, including internal audits, assessments, threat modeling, vulnerability testing, and other exercises focused on evaluating the effectiveness of our cybersecurity measures and planning. We engage third parties to perform assessments on our cybersecurity measures as a component of our SOX compliance program.</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provide regular, mandatory training for employees and contractors regarding cybersecurity threats as a means to equip our personnel with effective tools to address cybersecurity threats, including the detection and prevention of “phishing” and other attacks using social engineering, and to communicate our evolving information security policies, standards, processes, and practices.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Board, in coordination with the Audit Committee, oversees our overall enterprise risk management (“ERM”) process, including the management of risks arising from cybersecurity threats and information security. The Audit Committee receives regular presentations and reports on cybersecurity risks, which address a wide range of topics including recent developments, evolving standards, vulnerability assessments, the threat environment, technological trends, and information security considerations arising with respect to our peers and third parties. Beginning in 2024, the Audit Committee was provided updates on our process, procedures, policies and any cybersecurity incidents at least quarterly. In the event of a material incident, or incident that may be determined to be material, the Audit Committee is informed as soon as reasonably practical and provided regular updates by the SIMT.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have the opportunity to discuss our approach to cybersecurity risk management with the SIMT.</w:t>
      </w:r>
    </w:p>
    <w:p>
      <w:pPr>
        <w:spacing w:after="0" w:line="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SIMT is responsible for preventing, detecting and responding to cybersecurity threats and incidents to the Company, and includes our Chief Executive Officer (“CEO”), SVP Security, Chief Financial Officer (“CFO”), Chief Marketing Officer, Chief Technology Officer (“CTO”), General Counsel, and other subject matter experts. The SIMT works collaboratively across the Company to implement a program designed to protect our information systems and offerings from cybersecurity threats and to promptly identify and respond to any cybersecurity incidents in accordance with our incident response and recovery plans. To facilitate the success of our cybersecurity risk management program, multidisciplinary teams are deployed to address cybersecurity threats and to respond to cybersecurity incidents. Through ongoing communications with these teams, the SVP, Security and the SIMT monitor the prevention, detection, mitigation, and remediation of cybersecurity threats and incidents, and report such threats and incidents to our Board and Audit Committee when appropriate.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SIMT, together with other internal and external advisors, has developed a Security Incident Management Policy (“Security Policy”) and Cybersecurity Incident Management Process (“CIM Process”) to help guide our response to any potential cybersecurity incidents or threats. These documents are reviewed on a periodic basis by the SIMT, and the Audit Committee is apprised of the SIMT’s actions and potential improvements to the Security Policy and CIM process.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SVP Security has a strong background in engineering with over 30 years’ of industry experience in technology and security, and previously operated one of the world’s largest retail websites instituting and undergoing PCI and HIPPA certifications.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Cybersecurity threats, including as a result of any previous cybersecurity incidents, have not materially affected us, including our business strategy, results of operations or financial condition.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Cybersecurity threats, and their evolving nature, may pose a risk to us and our strategy, results of operations, and financial condition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lease office and data center space in various cities across North America, Europe and Asia Pacific. We believe that our facilities are adequate to meet our needs for the immediate future and that, should it be needed, we will be able to secure additional space to accommodate expansion of our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to our consolidated financial statements included elsewhere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ind w:right="1240"/>
        <w:spacing w:after="0" w:line="412"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Class A common stock began trading on the Nasdaq Global Market on December 9, 2020 under the symbol “PUBM.” Prior to that date, there was no public trading market for our Class A common stock. There is no public trading market for our Class B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January 31, 2025, there were 65 holders of record of our Class A common stock and 89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may deem relevant.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our repurchases of our Class A common stock during the three months ended December 31,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Total Number of Shares Purchased</w:t>
            </w:r>
          </w:p>
        </w:tc>
        <w:tc>
          <w:tcPr>
            <w:tcW w:w="2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Approximate Dollar Value of Shares</w:t>
            </w:r>
          </w:p>
        </w:tc>
      </w:tr>
      <w:tr>
        <w:trPr>
          <w:trHeight w:val="167"/>
        </w:trPr>
        <w:tc>
          <w:tcPr>
            <w:tcW w:w="2780" w:type="dxa"/>
            <w:vAlign w:val="bottom"/>
            <w:shd w:val="clear" w:color="auto" w:fill="CCEEFF"/>
          </w:tcPr>
          <w:p>
            <w:pPr>
              <w:spacing w:after="0"/>
              <w:rPr>
                <w:sz w:val="14"/>
                <w:szCs w:val="14"/>
                <w:color w:val="auto"/>
              </w:rPr>
            </w:pPr>
          </w:p>
        </w:tc>
        <w:tc>
          <w:tcPr>
            <w:tcW w:w="19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Total Number of Shares</w:t>
            </w:r>
          </w:p>
        </w:tc>
        <w:tc>
          <w:tcPr>
            <w:tcW w:w="2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as Part of Publicly Announced</w:t>
            </w:r>
          </w:p>
        </w:tc>
        <w:tc>
          <w:tcPr>
            <w:tcW w:w="16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that May Yet Be Purchased Under</w:t>
            </w:r>
          </w:p>
        </w:tc>
      </w:tr>
      <w:tr>
        <w:trPr>
          <w:trHeight w:val="209"/>
        </w:trPr>
        <w:tc>
          <w:tcPr>
            <w:tcW w:w="2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Period</w:t>
            </w:r>
          </w:p>
        </w:tc>
        <w:tc>
          <w:tcPr>
            <w:tcW w:w="19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Purchased</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99"/>
              </w:rPr>
              <w:t>Average Price Paid Per Share</w:t>
            </w:r>
            <w:r>
              <w:rPr>
                <w:rFonts w:ascii="Times New Roman" w:cs="Times New Roman" w:eastAsia="Times New Roman" w:hAnsi="Times New Roman"/>
                <w:sz w:val="18"/>
                <w:szCs w:val="18"/>
                <w:color w:val="auto"/>
                <w:w w:val="99"/>
                <w:vertAlign w:val="superscript"/>
              </w:rPr>
              <w:t>(2)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Plans or Programs</w:t>
            </w:r>
            <w:r>
              <w:rPr>
                <w:rFonts w:ascii="Times New Roman" w:cs="Times New Roman" w:eastAsia="Times New Roman" w:hAnsi="Times New Roman"/>
                <w:sz w:val="18"/>
                <w:szCs w:val="18"/>
                <w:color w:val="auto"/>
                <w:w w:val="97"/>
                <w:vertAlign w:val="superscript"/>
              </w:rPr>
              <w:t>(1)</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the Plans or Programs</w:t>
            </w:r>
            <w:r>
              <w:rPr>
                <w:rFonts w:ascii="Times New Roman" w:cs="Times New Roman" w:eastAsia="Times New Roman" w:hAnsi="Times New Roman"/>
                <w:sz w:val="18"/>
                <w:szCs w:val="18"/>
                <w:color w:val="auto"/>
                <w:vertAlign w:val="superscript"/>
              </w:rPr>
              <w:t>(1)</w:t>
            </w: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2024 - October 31,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705,402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14.88</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705,402</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40,400,785</w:t>
            </w:r>
          </w:p>
        </w:tc>
      </w:tr>
      <w:tr>
        <w:trPr>
          <w:trHeight w:val="22"/>
        </w:trPr>
        <w:tc>
          <w:tcPr>
            <w:tcW w:w="2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 2024 - November 30, 2024</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40,400,785</w:t>
            </w: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1, 2024 - December 31,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40,400,785</w:t>
            </w: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r>
      <w:tr>
        <w:trPr>
          <w:trHeight w:val="22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705,402</w:t>
            </w:r>
          </w:p>
        </w:tc>
        <w:tc>
          <w:tcPr>
            <w:tcW w:w="2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705,402</w:t>
            </w:r>
          </w:p>
        </w:tc>
        <w:tc>
          <w:tcPr>
            <w:tcW w:w="16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amounts above do not include the 1% excise tax on stock repurchases enacted by the Inflation Reduction Act of 2022.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38" w:lineRule="exact"/>
        <w:rPr>
          <w:sz w:val="20"/>
          <w:szCs w:val="20"/>
          <w:color w:val="auto"/>
        </w:rPr>
      </w:pPr>
    </w:p>
    <w:p>
      <w:pPr>
        <w:jc w:val="both"/>
        <w:ind w:left="520" w:hanging="260"/>
        <w:spacing w:after="0" w:line="253" w:lineRule="auto"/>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February 28, 2023, we announced the authorization of a share repurchase program for the repurchase of shares of our Class A common stock in an aggregate amount of up to $75 million through December 31, 2024. On February 26, 2024, we announced an increase to the aggregate amount available for repurchases to $175 million through December 31, 2025. As of December 31, 2024, we had purchased approximately $134.6 million of our Class A common stock.</w:t>
      </w: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price paid per share includes costs associated with the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relating to our 2024 annual meeting of stockholders to be filed by us with the SEC no later than 120 days after the close of our fiscal year ended December 31, 2024 (the “Proxy Statement”) and is incorporated herein by reference.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following graph compares the cumulative total stockholder return on an initial investment of $100 in our Class A common stock between December 9, 2020 (the date our Class A common stock commenced trading on the Nasdaq Global Market) through December 31, 2024, with the comparative cumulative total returns of the Nasdaq Composite Index, the Nasdaq US Benchmark Software and Computer Services TR Index and the Nasdaq CTA Internet Total Return Index over the same period. The graph uses the closing market price on December 9, 2020 of $29.45 per share as the initial value of our Class A common stock. We have not paid any cash dividends: therefore, the cumulative total return calculation for us is based solely upon stock price appreciation and not the reinvestment of cash dividends, whereas the data for the comparative indexes assumes reinvestments of dividends. The returns shown are based on historical results and are not indicative of, nor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20955</wp:posOffset>
            </wp:positionV>
            <wp:extent cx="4446270" cy="256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4627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initial public offering of our Class A common stock was effected pursuant to a registration statement on Form S-1 (File No. 333-250077), which was declared effective by the SEC on December 8, 2020.</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has been no material change in the planned use of proceeds from the initial public offering as described in our final prospectus dated December 8, 2020 (the “Prospectus”) filed with the SEC pursuant to Rule 424(b) under the Securities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an independent technology company seeking to maximize customer value by delivering digital advertising’s supply chain of the future.</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technology platform empowers the world’s leading digital content creators (which we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 Our infrastructure-driven approach allows for the efficient processing and utilization of data in real time. By delivering scalable and flexible programmatic innovation, we believe we improve outcomes for our customers while championing a vibrant and transparent digital advertising supply chain.</w:t>
      </w:r>
    </w:p>
    <w:p>
      <w:pPr>
        <w:spacing w:after="0" w:line="5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build direct relationships with publishers, advertisers, agencies, and DSPs and create bespoke products that meet our customers’ needs. We have also maintained a demonstrated track record of stability and agility to address these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Industry Trends </w:t>
      </w:r>
      <w:r>
        <w:rPr>
          <w:rFonts w:ascii="Times New Roman" w:cs="Times New Roman" w:eastAsia="Times New Roman" w:hAnsi="Times New Roman"/>
          <w:sz w:val="16"/>
          <w:szCs w:val="16"/>
          <w:b w:val="1"/>
          <w:bCs w:val="1"/>
          <w:i w:val="1"/>
          <w:iCs w:val="1"/>
          <w:color w:val="auto"/>
        </w:rPr>
        <w:t>and</w:t>
      </w:r>
      <w:r>
        <w:rPr>
          <w:rFonts w:ascii="Times New Roman" w:cs="Times New Roman" w:eastAsia="Times New Roman" w:hAnsi="Times New Roman"/>
          <w:sz w:val="14"/>
          <w:szCs w:val="14"/>
          <w:b w:val="1"/>
          <w:bCs w:val="1"/>
          <w:i w:val="1"/>
          <w:iCs w:val="1"/>
          <w:color w:val="auto"/>
        </w:rPr>
        <w:t xml:space="preserve"> Macroeconomic Factors</w:t>
      </w:r>
    </w:p>
    <w:p>
      <w:pPr>
        <w:spacing w:after="0" w:line="1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digital advertising ecosystem continues to evolve and adapt at a rapid pace. Some noted trends include the continued growth of digital media across multiple platforms, a continued increase in the number of ad impressions processed and analyzed in real-time by each participant in the digital advertising ecosystem, a desire for transparency and control throughout the supply chain from both the buyers and publishers, and rapidly evolving data and privacy regulations and standards.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Additionally, recent foreign currency fluctuation and persistent inflation in the U.S. and other markets globally continue to create economic volatility and dislocation in the capital and credit markets in the U.S. and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“Risk Factors” for further discussion of the risks related to inflation, volatile interest rates, foreign currency fluctuations and public health crises on our business.</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Results Overview</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financial highlights of our business: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3"/>
        </w:trPr>
        <w:tc>
          <w:tcPr>
            <w:tcW w:w="6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267,014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256,380</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40,520</w:t>
            </w:r>
          </w:p>
        </w:tc>
      </w:tr>
      <w:tr>
        <w:trPr>
          <w:trHeight w:val="22"/>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28,705</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92,325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75,309</w:t>
            </w:r>
          </w:p>
        </w:tc>
        <w:tc>
          <w:tcPr>
            <w:tcW w:w="8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97,014</w:t>
            </w: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87,212</w:t>
            </w:r>
          </w:p>
        </w:tc>
      </w:tr>
      <w:tr>
        <w:trPr>
          <w:trHeight w:val="22"/>
        </w:trPr>
        <w:tc>
          <w:tcPr>
            <w:tcW w:w="6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50"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a definition of Adjusted EBITDA, an explanation of our management’s use of this measure, and a reconciliation of Adjusted EBITDA to net income, see “Non-GAAP Financial Measures”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 and Performance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our growth and financial performance are dependent on many factors, including those described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Attract New Customers and Expand our Relationship with Existing Customers Globally</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net dollar-based retention rate equals the Current Period Revenue divided by Prior Period Revenue. Our net dollar-based retention rate was 107% for the year ended December 31, 2024, and 101% for the year ended December 31, 2023.</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Further, we work with DSPs to help them reduce their costs and improve advertiser ROI, which in turn makes us the specialized cloud infrastructure platform of choice for many of our buying partners. We depend upon a limited number of large DSPs for a large percentage of impressions purchased and our business results, including revenues, may be impacted by changes in their pricing strategies, bidding algorithms or go-to market efforts. As buyers increasingly consolidate their spending with fewer larger technology platforms, we seek to bring an increased proportion of their digital ad spending to our platform through direct deals. </w:t>
      </w:r>
      <w:r>
        <w:rPr>
          <w:rFonts w:ascii="Times New Roman" w:cs="Times New Roman" w:eastAsia="Times New Roman" w:hAnsi="Times New Roman"/>
          <w:sz w:val="15"/>
          <w:szCs w:val="15"/>
          <w:color w:val="auto"/>
        </w:rPr>
        <w:t>S</w:t>
      </w:r>
      <w:r>
        <w:rPr>
          <w:rFonts w:ascii="Times New Roman" w:cs="Times New Roman" w:eastAsia="Times New Roman" w:hAnsi="Times New Roman"/>
          <w:sz w:val="14"/>
          <w:szCs w:val="14"/>
          <w:color w:val="auto"/>
        </w:rPr>
        <w:t>upply Path Optimization (“SPO”) continues to be a major growth driver for us as we add new SPO relationships and expand existing ones. We have been investing in SPO technology and partnerships for six years and SPO represented approximately 50% of total activity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Monetization Excellence</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644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Infrastructure Platform Efficiency</w:t>
      </w:r>
    </w:p>
    <w:p>
      <w:pPr>
        <w:spacing w:after="0" w:line="96"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w:t>
      </w:r>
    </w:p>
    <w:p>
      <w:pPr>
        <w:spacing w:after="0" w:line="21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57.9 trillion, 60.7 trillion, 69.8 trillion, and 74.7 trillion for each of the three months ended March 31, 2024, June 30, 2024, September 30, 2024, and December 31, 2024, respectively, as compared to 46.5 trillion, 48.8 trillion, 56.0 trillion, and 59.4 trillion for each of the three months ended March 31, 2023, June 30, 2023, September 30, 2023, and December 31, 2023,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generate revenue from the use of our platform for the purchase and sale of digital advertising inventory.</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primarily work with publishers and app developers who allow us direct access to their ad inventory, as well as select channel partners that meet our quality and scale thresholds. Our channel partners aggregate and provide further access to thousands of sites and apps from smaller publishers. We generate revenue through fees charged to our publishers, which are generally a percentage of the value of the advertising impressions that publishers monetize on our platform.</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generate revenues from our other products such as OpenWrap, our header bidding solution, and Connect, our solution that provides additional data and insights to buyers, which are sold separate from or in conjunction with use of our platform. We continue to invest in new features for our existing solutions and new solutions such as our new product Activate, which allows buyers to execute direct deals on our platform with publisher inventory, and Convert, our commerce media solution, both of which were launched in 2023.</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global advertising industry experiences seasonal trends that affect the vast majority of participants in the digital advertising ecosystem. Most notably, advertisers have historically spent more in the fourth quarter of the calendar year to coincide with the holiday shopping season, and less in the first quarter. We expect seasonality trends to continue, thereby resulting in seasonality in our revenues and corresponding accounts receivable and accounts payable balances, and our ability to manage our resources in anticipation of these trends will affect our operating results.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recognition policies are discussed in more detail under “Critical Accounting Policies and Estimates.”</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 of revenue consists of data center co-location costs, depreciation expense related to hardware supporting our platform, amortization expense related to capitalized internal use software development costs and acquired developed technology, personnel costs, and allocated facilities costs. Personnel costs include salaries, bonuses, stock-based compensation, and employee benefit costs, and are primarily attributable to our network operations group, which maintains our servers, and our client operations group, which is responsible for the integration of new publishers and buyers and providing customer support for existing customers.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Technology and Development. </w:t>
      </w:r>
      <w:r>
        <w:rPr>
          <w:rFonts w:ascii="Times New Roman" w:cs="Times New Roman" w:eastAsia="Times New Roman" w:hAnsi="Times New Roman"/>
          <w:sz w:val="14"/>
          <w:szCs w:val="14"/>
          <w:color w:val="auto"/>
        </w:rPr>
        <w:t>Technology and development expenses consist of personnel costs, including salaries, bonuses, stock-based compensation, and employee benefits costs, allocated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costs, and professional services. These expenses include costs incurred in the development, implementation and maintenance of internal use software, including platform and related infrastructure. We expense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consist of personnel costs, including salaries, bonuses, stock-based compensation, and employee benefits costs for our employees engaged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General and Administrative</w:t>
      </w:r>
      <w:r>
        <w:rPr>
          <w:rFonts w:ascii="Times New Roman" w:cs="Times New Roman" w:eastAsia="Times New Roman" w:hAnsi="Times New Roman"/>
          <w:sz w:val="14"/>
          <w:szCs w:val="14"/>
          <w:color w:val="auto"/>
        </w:rPr>
        <w:t>. General and administrative expenses consist of personnel costs, including salaries, bonuses, stock-based compensation, and employee benefits costs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 We expect general and administrative expenses to increase in absolute dollars in future periods.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 Net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other income (expense), net consists of interest income, unrealized gain (loss) on equity investment and other income (expense), net. Interest income is generated by investing excess cash into money market accounts and marketable securities. Unrealized gain (loss) on equity investment consists of gains and losses on our investment in equity securities, including unrealized gains and losses from market price changes or impairment of securities we continue to hold. Other income (expense), net consists primarily of gains and losses from foreign currency exchange transactions.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provision for income taxes consists primarily of federal, state, and foreign income taxes. Our income tax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effective tax rate differs from the U.S. federal statutory income tax rate due to state taxes, foreign tax rate differences, technology and development tax credits, Section 162(m) limitation, and stock-based compensation.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set forth our consolidated results of operations data (in thousands) and such data as a percentage of revenue for the periods presented. The period-to-period comparison of results is not necessarily indicative of results for future periods.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9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00" w:type="dxa"/>
            <w:vAlign w:val="bottom"/>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267,014</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256,380</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101,027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99,229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81,512</w:t>
            </w:r>
          </w:p>
        </w:tc>
        <w:tc>
          <w:tcPr>
            <w:tcW w:w="0" w:type="dxa"/>
            <w:vAlign w:val="bottom"/>
          </w:tcPr>
          <w:p>
            <w:pPr>
              <w:spacing w:after="0"/>
              <w:rPr>
                <w:sz w:val="1"/>
                <w:szCs w:val="1"/>
                <w:color w:val="auto"/>
              </w:rPr>
            </w:pPr>
          </w:p>
        </w:tc>
      </w:tr>
      <w:tr>
        <w:trPr>
          <w:trHeight w:val="18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190,229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167,785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174,868</w:t>
            </w:r>
          </w:p>
        </w:tc>
        <w:tc>
          <w:tcPr>
            <w:tcW w:w="0" w:type="dxa"/>
            <w:vAlign w:val="bottom"/>
          </w:tcPr>
          <w:p>
            <w:pPr>
              <w:spacing w:after="0"/>
              <w:rPr>
                <w:sz w:val="1"/>
                <w:szCs w:val="1"/>
                <w:color w:val="auto"/>
              </w:rPr>
            </w:pP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Operating expenses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9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33,263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26,727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20,846</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95,369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82,803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68,562</w:t>
            </w:r>
          </w:p>
        </w:tc>
        <w:tc>
          <w:tcPr>
            <w:tcW w:w="0" w:type="dxa"/>
            <w:vAlign w:val="bottom"/>
          </w:tcPr>
          <w:p>
            <w:pPr>
              <w:spacing w:after="0"/>
              <w:rPr>
                <w:sz w:val="1"/>
                <w:szCs w:val="1"/>
                <w:color w:val="auto"/>
              </w:rPr>
            </w:pP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57,670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56,219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44,940</w:t>
            </w:r>
          </w:p>
        </w:tc>
        <w:tc>
          <w:tcPr>
            <w:tcW w:w="0" w:type="dxa"/>
            <w:vAlign w:val="bottom"/>
          </w:tcPr>
          <w:p>
            <w:pPr>
              <w:spacing w:after="0"/>
              <w:rPr>
                <w:sz w:val="1"/>
                <w:szCs w:val="1"/>
                <w:color w:val="auto"/>
              </w:rPr>
            </w:pP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186,302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165,749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134,348</w:t>
            </w:r>
          </w:p>
        </w:tc>
        <w:tc>
          <w:tcPr>
            <w:tcW w:w="0" w:type="dxa"/>
            <w:vAlign w:val="bottom"/>
          </w:tcPr>
          <w:p>
            <w:pPr>
              <w:spacing w:after="0"/>
              <w:rPr>
                <w:sz w:val="1"/>
                <w:szCs w:val="1"/>
                <w:color w:val="auto"/>
              </w:rPr>
            </w:pPr>
          </w:p>
        </w:tc>
      </w:tr>
      <w:tr>
        <w:trPr>
          <w:trHeight w:val="18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3,927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40,520</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13,847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8,469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0" w:type="dxa"/>
            <w:vAlign w:val="bottom"/>
          </w:tcPr>
          <w:p>
            <w:pPr>
              <w:spacing w:after="0"/>
              <w:rPr>
                <w:sz w:val="1"/>
                <w:szCs w:val="1"/>
                <w:color w:val="auto"/>
              </w:rPr>
            </w:pPr>
          </w:p>
        </w:tc>
      </w:tr>
      <w:tr>
        <w:trPr>
          <w:trHeight w:val="18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17,774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10,505</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37,467</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0" w:type="dxa"/>
            <w:vAlign w:val="bottom"/>
          </w:tcPr>
          <w:p>
            <w:pPr>
              <w:spacing w:after="0"/>
              <w:rPr>
                <w:sz w:val="1"/>
                <w:szCs w:val="1"/>
                <w:color w:val="auto"/>
              </w:rPr>
            </w:pPr>
          </w:p>
        </w:tc>
      </w:tr>
      <w:tr>
        <w:trPr>
          <w:trHeight w:val="20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w:t>
            </w: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(1)  Amounts include stock-based compensation expense before tax benefit as follows: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9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6,313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10,462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0" w:type="dxa"/>
            <w:vAlign w:val="bottom"/>
          </w:tcPr>
          <w:p>
            <w:pPr>
              <w:spacing w:after="0"/>
              <w:rPr>
                <w:sz w:val="1"/>
                <w:szCs w:val="1"/>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16,101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w:t>
            </w:r>
          </w:p>
        </w:tc>
        <w:tc>
          <w:tcPr>
            <w:tcW w:w="0" w:type="dxa"/>
            <w:vAlign w:val="bottom"/>
          </w:tcPr>
          <w:p>
            <w:pPr>
              <w:spacing w:after="0"/>
              <w:rPr>
                <w:sz w:val="1"/>
                <w:szCs w:val="1"/>
                <w:color w:val="auto"/>
              </w:rPr>
            </w:pP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0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37,676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28,862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(as percentage of revenue)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tcPr>
          <w:p>
            <w:pPr>
              <w:spacing w:after="0"/>
              <w:rPr>
                <w:sz w:val="16"/>
                <w:szCs w:val="16"/>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Pr>
          <w:p>
            <w:pPr>
              <w:spacing w:after="0"/>
              <w:rPr>
                <w:sz w:val="16"/>
                <w:szCs w:val="16"/>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1"/>
        </w:trPr>
        <w:tc>
          <w:tcPr>
            <w:tcW w:w="6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00" w:type="dxa"/>
            <w:vAlign w:val="bottom"/>
          </w:tcPr>
          <w:p>
            <w:pPr>
              <w:spacing w:after="0"/>
              <w:rPr>
                <w:sz w:val="16"/>
                <w:szCs w:val="16"/>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Pr>
          <w:p>
            <w:pPr>
              <w:spacing w:after="0"/>
              <w:rPr>
                <w:sz w:val="16"/>
                <w:szCs w:val="16"/>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2024 and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Cost of Revenue and Gross Profit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560" w:type="dxa"/>
            <w:vAlign w:val="bottom"/>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49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gridSpan w:val="3"/>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267,014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24,242</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tcPr>
          <w:p>
            <w:pPr>
              <w:spacing w:after="0"/>
              <w:rPr>
                <w:sz w:val="16"/>
                <w:szCs w:val="16"/>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101,027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99,229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190,229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167,785</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22,444</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Gross profit margin</w:t>
            </w:r>
          </w:p>
        </w:tc>
        <w:tc>
          <w:tcPr>
            <w:tcW w:w="90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65 %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63 %</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Revenue increased $24.2 million, or 9%, in 2024 primarily due to an increase in the number of ad impressions processed from our publishers, growth in our emerging revenue streams, and increased demand from the growth of our buyer relationships primarily through SPO agreements. For the year ended 2024, we served approximately 1,900 publishers worldwide on our platform, compared to approximately 1,800 publishers worldwide for the year ended 2023. We ended fiscal 2024 with approximately 100 net new publishers, which represented over 60,000 domains and 27,000 apps in total, compared to approximately 150 new publishers in 2023, which represented approximately 66,000 domains and 29,000 apps in total. For purposes of our publisher count, we aggregate multiple business accounts from separate divisions, segments or subsidiaries into a single “master” publisher based on our assessment of the related nature of the group. In addition, in 2024 we completed a number of SPO initiatives which increased buyer spend on our platform.</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revenues in 2024 benefited by approximately $14.2 million from incremental political spend in the United States due to the 2024 presidential election. Conversely, our business was negatively impacted by bidding methodology changes implemented by one of our buyers in the second half of the second fiscal quarter of 2024.</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expect revenue to continue to increase in 2025, primarily driven by growth in mobile and omnichannel video, which is the combination of short form video and OTT/CTV. Additionally, we expect our revenues to be affected by macroeconomic conditions, and will continue to be impacted by the bidding methodology changes implemented by one of our buyers in the near term. The magnitude of these impacts on our future revenues is difficult to predict.</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Cost of revenue increased $1.8 million, primarily due to a $5.1 million increase in amortization of internal use software and a $1.3 million increase in personnel costs as headcount increased 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 order to support our growing business, offset by a $3.8 million decrease in depreciation of data center equipment. Overall, our cost of revenue per impression processed in 2024 decreased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 compared to 2023.</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gross margin of 65% in 2024 increased compared to 2023 of 63% due to revenue growth accelerating faster than cost of revenues.</w:t>
      </w:r>
    </w:p>
    <w:p>
      <w:pPr>
        <w:spacing w:after="0" w:line="94" w:lineRule="exact"/>
        <w:rPr>
          <w:sz w:val="20"/>
          <w:szCs w:val="20"/>
          <w:color w:val="auto"/>
        </w:rPr>
      </w:pPr>
    </w:p>
    <w:p>
      <w:pPr>
        <w:jc w:val="both"/>
        <w:ind w:firstLine="234"/>
        <w:spacing w:after="0" w:line="287" w:lineRule="auto"/>
        <w:rPr>
          <w:sz w:val="20"/>
          <w:szCs w:val="20"/>
          <w:color w:val="auto"/>
        </w:rPr>
      </w:pPr>
      <w:r>
        <w:rPr>
          <w:rFonts w:ascii="Times New Roman" w:cs="Times New Roman" w:eastAsia="Times New Roman" w:hAnsi="Times New Roman"/>
          <w:sz w:val="14"/>
          <w:szCs w:val="14"/>
          <w:color w:val="auto"/>
        </w:rPr>
        <w:t>We expect the cost of revenue to be higher in 2025 compared to 2024 in absolute dollars primarily due to increases in depreciation and amortization expense from data center capacity expansion in 2024, as well as increases in in software, hardware and equipment maintenance to support the data centers.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Development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3"/>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49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gridSpan w:val="3"/>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33,263</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26,727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 of revenue</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increase in technology and development costs was primarily due to an increase of $7.5 million in personnel costs associated with a headcount increase by 13% and higher stock-based compensation costs, an increase of $0.7 million in facilities costs associated with new offices, an increase in depreciation of $0.3 million, and an increase in travel and entertainment of $0.3 million, offset by a $2.3 million increase in the capitalization of internal use software.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expect technology and development expenses to increase in 2025 compared to 2024 in absolute dollars, primarily due to the additional headcount investment in our key growth opportunities.</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gridSpan w:val="3"/>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40" w:type="dxa"/>
            <w:vAlign w:val="bottom"/>
            <w:vMerge w:val="restart"/>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49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95,369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82,803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12,566</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 of revenue</w:t>
            </w: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Sales and marketing costs increased primarily due to a $11.7 million increase in personnel costs associated with a headcount increase by 7% and higher stock-based compensation costs and a $1.1 million increase in facilities costs, increase in travel and entertainment expenses of $0.4 million, and increase in marketing expenses of $0.2 million, offset by a decrease in amortization for acquisition-related intangible assets of $0.9 million.</w:t>
      </w:r>
    </w:p>
    <w:p>
      <w:pPr>
        <w:spacing w:after="0" w:line="51" w:lineRule="exact"/>
        <w:rPr>
          <w:sz w:val="20"/>
          <w:szCs w:val="20"/>
          <w:color w:val="auto"/>
        </w:rPr>
      </w:pPr>
    </w:p>
    <w:p>
      <w:pPr>
        <w:ind w:right="1220" w:firstLine="255"/>
        <w:spacing w:after="0" w:line="352" w:lineRule="auto"/>
        <w:rPr>
          <w:sz w:val="20"/>
          <w:szCs w:val="20"/>
          <w:color w:val="auto"/>
        </w:rPr>
      </w:pPr>
      <w:r>
        <w:rPr>
          <w:rFonts w:ascii="Times New Roman" w:cs="Times New Roman" w:eastAsia="Times New Roman" w:hAnsi="Times New Roman"/>
          <w:sz w:val="14"/>
          <w:szCs w:val="14"/>
          <w:color w:val="auto"/>
        </w:rPr>
        <w:t xml:space="preserve">We expect sales and marketing expenses to increase in 2025 compared to 2024 in absolute dollars primarily due to additional headcount investment and marketing programs. </w:t>
      </w:r>
      <w:r>
        <w:rPr>
          <w:rFonts w:ascii="Times New Roman" w:cs="Times New Roman" w:eastAsia="Times New Roman" w:hAnsi="Times New Roman"/>
          <w:sz w:val="14"/>
          <w:szCs w:val="14"/>
          <w:b w:val="1"/>
          <w:bCs w:val="1"/>
          <w:i w:val="1"/>
          <w:iCs w:val="1"/>
          <w:color w:val="auto"/>
        </w:rPr>
        <w:t>General and Administrative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3"/>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49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gridSpan w:val="3"/>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57,670</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56,219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 of revenue</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increased primarily due to a $6.3 million increase in personnel costs associated with higher stock-based compensation costs, and a $1.1 million increase in professional services, offset by a $5.7 million decrease in provision for bad debt relating to a DSP buyer of our platform that filed for Chapter 11 bankruptcy on June 30, 2023.</w:t>
      </w:r>
    </w:p>
    <w:p>
      <w:pPr>
        <w:spacing w:after="0" w:line="39" w:lineRule="exact"/>
        <w:rPr>
          <w:sz w:val="20"/>
          <w:szCs w:val="20"/>
          <w:color w:val="auto"/>
        </w:rPr>
      </w:pPr>
    </w:p>
    <w:p>
      <w:pPr>
        <w:ind w:right="1460" w:firstLine="255"/>
        <w:spacing w:after="0" w:line="407" w:lineRule="auto"/>
        <w:rPr>
          <w:sz w:val="20"/>
          <w:szCs w:val="20"/>
          <w:color w:val="auto"/>
        </w:rPr>
      </w:pPr>
      <w:r>
        <w:rPr>
          <w:rFonts w:ascii="Times New Roman" w:cs="Times New Roman" w:eastAsia="Times New Roman" w:hAnsi="Times New Roman"/>
          <w:sz w:val="14"/>
          <w:szCs w:val="14"/>
          <w:color w:val="auto"/>
        </w:rPr>
        <w:t xml:space="preserve">We expect general and administrative expenses to increase in 2025 compared to 2024 in absolute dollars primarily due to increases in expenses relating to our personnel. </w:t>
      </w:r>
      <w:r>
        <w:rPr>
          <w:rFonts w:ascii="Times New Roman" w:cs="Times New Roman" w:eastAsia="Times New Roman" w:hAnsi="Times New Roman"/>
          <w:sz w:val="14"/>
          <w:szCs w:val="14"/>
          <w:b w:val="1"/>
          <w:bCs w:val="1"/>
          <w:i w:val="1"/>
          <w:iCs w:val="1"/>
          <w:color w:val="auto"/>
        </w:rPr>
        <w:t>Interest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50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
        </w:trPr>
        <w:tc>
          <w:tcPr>
            <w:tcW w:w="50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income decreased due to the decrease in interest rates and a decrease in holdings in marketable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50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22"/>
        </w:trPr>
        <w:tc>
          <w:tcPr>
            <w:tcW w:w="50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other income (expense), net increased for the year ended December 31, 2024, compared to the prior year period, primarily driven by other income of $4.0 million from the Google Privacy Sandbox initiative in connection with their previous initiative to phase out the use of third-party cookies. The income from the Google Privacy Sandbox initiative was related to our efforts to build and test integrations with the privacy sandbox. Other income (expense) also benefited from foreign currency fluctuations for the year ended December 31, 2024 compared to the prior year period.</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50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22"/>
        </w:trPr>
        <w:tc>
          <w:tcPr>
            <w:tcW w:w="50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difference between the effective tax rate in 2024 of 30% and the federal statutory income tax rate of 21% was primarily due to state taxes, Section 162(m) limitation, and acquisition-related costs partially offset by foreign derived intangible income (FDII) deduction and federal research and development credit.</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difference between the effective tax rate in 2023 of 15% and the federal statutory income tax rate of 21% was primarily due to federal research and development credit and foreign derived intangible income (FDII) deduction partially offset by state taxes, stock-based compensation, and Section 162(m) limitation.</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discussion on comparison of the fiscal years ended December 31, 2023 and December 31, 2022, please refer to Part II, Item 7, “Management's Discussion and Analysis of Financial Condition and Results of Operations” in our Annual Report on Form 10-K for the fiscal year ended December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unrealized (gain) loss and impairment of equity investment, interest income, acquisition-related and other expenses, and provision for income taxes.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a reconciliation of Adjusted EBITDA to net income for each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3"/>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28,705</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back (deduct):</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20,646</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34,249</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and impairment of equity investment</w:t>
            </w:r>
          </w:p>
        </w:tc>
        <w:tc>
          <w:tcPr>
            <w:tcW w:w="9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shd w:val="clear" w:color="auto" w:fill="CCEEFF"/>
          </w:tcPr>
          <w:p>
            <w:pPr>
              <w:ind w:left="180"/>
              <w:spacing w:after="0" w:line="212" w:lineRule="exact"/>
              <w:rPr>
                <w:sz w:val="20"/>
                <w:szCs w:val="20"/>
                <w:color w:val="auto"/>
              </w:rPr>
            </w:pPr>
            <w:r>
              <w:rPr>
                <w:rFonts w:ascii="Times New Roman" w:cs="Times New Roman" w:eastAsia="Times New Roman" w:hAnsi="Times New Roman"/>
                <w:sz w:val="14"/>
                <w:szCs w:val="14"/>
                <w:color w:val="auto"/>
              </w:rPr>
              <w:t xml:space="preserve">Acquisition-related and other expenses </w:t>
            </w:r>
            <w:r>
              <w:rPr>
                <w:rFonts w:ascii="Times New Roman" w:cs="Times New Roman" w:eastAsia="Times New Roman" w:hAnsi="Times New Roman"/>
                <w:sz w:val="22"/>
                <w:szCs w:val="22"/>
                <w:color w:val="auto"/>
                <w:vertAlign w:val="superscript"/>
              </w:rPr>
              <w:t>(1)</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50" w:lineRule="exact"/>
        <w:rPr>
          <w:sz w:val="20"/>
          <w:szCs w:val="20"/>
          <w:color w:val="auto"/>
        </w:rPr>
      </w:pPr>
    </w:p>
    <w:p>
      <w:pPr>
        <w:jc w:val="both"/>
        <w:ind w:left="520" w:hanging="260"/>
        <w:spacing w:after="0" w:line="259" w:lineRule="auto"/>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For additional information, see Note 7, “Business Combination” to our consolidated financial statements included elsewhere in this Annual Report on Form 10-K.</w:t>
      </w:r>
    </w:p>
    <w:p>
      <w:pPr>
        <w:spacing w:after="0" w:line="6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operating income and net income, 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spacing w:after="0" w:line="39" w:lineRule="exact"/>
        <w:rPr>
          <w:sz w:val="20"/>
          <w:szCs w:val="20"/>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widely used by investors and securities analysts to measure a company’s operating performance without regard to items such as stock-based compensation expense, depreciation and amortization, interest expense, provision for income taxes, and certain one-time items such as impairments of long-lived assets, that can vary substantially from company to company depending upon their financing, capital structures and the method by which assets were acquired;</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uses Adjusted EBITDA in conjunction with GAAP financial measures for planning purposes, including the preparation of our annual operating budget, as a measure of operating performance and the effectiveness of our business strategies and in communications with our board of directors concerning our financial performance;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provides consistency and comparability with our past financial performance, facilitates period-to-period comparisons of operations, and also facilitates comparisons with other peer companies, many of which use similar non-GAAP financial measures to supplement their GAAP results.</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use of this non-GAAP financial measure has limitations as an analytical tool, and you should not consider it in isolation or as a substitute for analysis of our financial results as reported under GAAP. Some of these limitations are as follows:</w:t>
      </w:r>
    </w:p>
    <w:p>
      <w:pPr>
        <w:spacing w:after="0" w:line="39" w:lineRule="exact"/>
        <w:rPr>
          <w:sz w:val="20"/>
          <w:szCs w:val="20"/>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(a) changes in, or cash requirements for, our working capital needs; (b) the potentially dilutive impact of stock-based compensation; or (c) tax payments that may represent a reduction in cash available to us;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in our industry may calculate Adjusted EBITDA differently than we do, limiting its usefulness as a comparative measure.</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Because of these and other limitations, you should consider Adjusted EBITDA along with other GAAP-based financial performance measures, including net income and our GAAP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financed our operations and capital expenditures primarily through utilization of cash generated from operations. As of December 31, 2024, we had cash, cash equivalents, and marketable securities of $140.6 million and net working capital, consisting of current assets less current liabilities, of $156.7 million.</w:t>
      </w:r>
    </w:p>
    <w:p>
      <w:pPr>
        <w:spacing w:after="0" w:line="3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3"/>
        </w:trPr>
        <w:tc>
          <w:tcPr>
            <w:tcW w:w="6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87,212</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(81,371)</w:t>
            </w:r>
          </w:p>
        </w:tc>
      </w:tr>
      <w:tr>
        <w:trPr>
          <w:trHeight w:val="22"/>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currency on cash</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3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net cash provided by operating activities of $73.4 million resulted primarily from net income of $12.5 million, adjustments for non-cash expenses of $74.7 million, including $45.4 million for depreciation and amortization, $37.7 million for stock-based compensation, and $11.0 million for deferred income taxes, and an increase in accounts receivable of $49.3 million, partially offset by an increase in accounts payable of $38.1 million.</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net cash provided by operating activities of $81.1 million resulted primarily from net income of $8.9 million, adjustments for non-cash expenses of $68.0 million, including $44.8 million for depreciation and amortization, $28.9 million for stock-based compensation, and $13.4 million for deferred income taxes, and an increase in accounts receivable of $75.7 million, partially offset by an increase in accounts payable of $79.7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net cash provided by investing activities was $22.3 million of cash, consisting of a net inflows from investments of marketable securities of $60.8 million, offset by $17.6 million in purchases of property and equipment (primarily data center infrastructure), and $20.9 million of investments in capitalized internal use software.</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net cash used in investing activities was $39.0 million, consisting of a net purchase of investments of marketable securities of $29.6 million, $10.6 million in purchases of property and equipment (primarily data center infrastructure), $17.7 million of investments in capitalized internal use software, offset by net inflows from sales of marketable securities prior to maturity of $18.9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net cash used in financing activities of $73.5 million was primarily due to $75.3 million in stock repurchases and $2.1 million in payment of a business combination indemnification holdback, offset by $1.8 million proceeds from stock option exercises and $2.4 million proceeds from the employee stock purchase plan.</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net cash used in financing activities of $56.0 million was primarily due to $59.3 million in stock repurchases, offset by $1.5 million in proceeds from stock option exercises and $1.9 million in proceeds from the employee stock purchase plan.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discussion on operating, investing, and financing activities of the fiscal year ended December 31, 2022, see the Liquidity and Capital Resources section disclosed in “Management’s Discussion and Analysis of Financial Condition and Results of Operations” of our Annual Report on Form 10-K, which was filed with the SEC on February 28, 2023 and hereby incorporated by reference herein and considered part of this Annual Report on Form 10-K only to the extent referenced.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Future Cash Requirements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principal contractual obligations consist of non-cancelable leases for our various facilities. In certain cases, the terms of the lease agreements provide for rental payments that increase over time.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contractual obligations, at December 31, 2024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0"/>
        </w:trPr>
        <w:tc>
          <w:tcPr>
            <w:tcW w:w="3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1"/>
        </w:trPr>
        <w:tc>
          <w:tcPr>
            <w:tcW w:w="352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Less than 1 year</w:t>
            </w:r>
          </w:p>
        </w:tc>
        <w:tc>
          <w:tcPr>
            <w:tcW w:w="12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1 - 3 years</w:t>
            </w:r>
          </w:p>
        </w:tc>
        <w:tc>
          <w:tcPr>
            <w:tcW w:w="300" w:type="dxa"/>
            <w:vAlign w:val="bottom"/>
          </w:tcPr>
          <w:p>
            <w:pPr>
              <w:spacing w:after="0"/>
              <w:rPr>
                <w:sz w:val="12"/>
                <w:szCs w:val="12"/>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3 - 5 years</w:t>
            </w:r>
          </w:p>
        </w:tc>
        <w:tc>
          <w:tcPr>
            <w:tcW w:w="200" w:type="dxa"/>
            <w:vAlign w:val="bottom"/>
          </w:tcPr>
          <w:p>
            <w:pPr>
              <w:spacing w:after="0"/>
              <w:rPr>
                <w:sz w:val="12"/>
                <w:szCs w:val="12"/>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More than 5 years</w:t>
            </w:r>
          </w:p>
        </w:tc>
      </w:tr>
      <w:tr>
        <w:trPr>
          <w:trHeight w:val="30"/>
        </w:trPr>
        <w:tc>
          <w:tcPr>
            <w:tcW w:w="3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35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Other contractual obligations</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24,086</w:t>
            </w:r>
          </w:p>
        </w:tc>
      </w:tr>
      <w:tr>
        <w:trPr>
          <w:trHeight w:val="22"/>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83,890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22,104</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24,086</w:t>
            </w:r>
          </w:p>
        </w:tc>
      </w:tr>
      <w:tr>
        <w:trPr>
          <w:trHeight w:val="20"/>
        </w:trPr>
        <w:tc>
          <w:tcPr>
            <w:tcW w:w="3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spacing w:after="0" w:line="50"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Other contractual obligations consist primarily of contractual obligations to third-party data center providers.</w:t>
      </w: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we had $5.0 million of long-term income tax liabilities, including interest, related to uncertain tax positions. Because of the high degree of uncertainty regarding the settlement of these liabilities, we are unable to estimate the years in which future cash outflows may occur. As a result, this amount is not included in the contractual obligations table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October 17, 2022, we entered into a Senior Secured Credit Facilities Credit Agreement (the “Credit Agreement”) with the several lenders parties thereto, and Silicon Valley Bank, as administrative agent, lead arranger, issuing lender, and swingline lender. The Credit Agreement provides a revolving credit facility in an aggregate principal amount of $110.0 million (“the Revolving Credit Facility”), including a $25.0 million letter of credit sub-facility and a $25.0 million swingline sub-facility.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obligations under the Credit Agreement are secured by substantially all of our assets. The Credit Agreement matures on October 17, 2027.</w:t>
      </w:r>
    </w:p>
    <w:p>
      <w:pPr>
        <w:spacing w:after="0" w:line="58"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Borrowings under the Revolving Credit Facility accrue interest at rates equal, at our election, to (i) the adjusted term secured overnight financing rate (“SOFR”), which is defined as (a) the applicable term SOFR plus (b) a term SOFR adjustment equal to 0.20% per annum, plus the applicable margin for such loans, or (ii) the alternate base rate (“ABR”), which is defined as the highest of</w:t>
      </w:r>
    </w:p>
    <w:p>
      <w:pPr>
        <w:spacing w:after="0" w:line="1" w:lineRule="exact"/>
        <w:rPr>
          <w:sz w:val="20"/>
          <w:szCs w:val="20"/>
          <w:color w:val="auto"/>
        </w:rPr>
      </w:pPr>
    </w:p>
    <w:p>
      <w:pPr>
        <w:jc w:val="both"/>
        <w:ind w:firstLine="5"/>
        <w:spacing w:after="0" w:line="256" w:lineRule="auto"/>
        <w:tabs>
          <w:tab w:leader="none" w:pos="1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As of December 31, 2024, the applicable interest rate under the Revolving Credit Facility was 8.50%. We had no amounts outstanding under the Revolving Credit Facility as of December 31, 2024.</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see Note 5, “Loan and Security Agreement and Senior Secured Credit Facilities Agreement” to our consolidated financial statements included elsewhere 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The preparation of the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consolidated financial statements. Therefore, we consider these to be our critical accounting policies and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refer to our publishers, app developers, and channel partners collectively as our publishers. 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3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 See “Part II - Item 8. Financial Statements and Supplementary Data - Note 2” for more information on revenue recognition.</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generally invoice buyers at the end of each month for the full purchase price of ad impressions monetized in that month. Accounts receivable are recorded at the amount of gross billings for the amounts we are responsible to collect, and accounts payable are recorded at the net amount payable to publishers. Accordingly, both accounts receivable and accounts payable appear large in relation to revenue reported on a net basis.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Use Software Development Costs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capitalize certain internal use software development costs associated with creating and enhancing internal use software related to our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We expense software development costs that do not meet the criteria for capitalization as incurred and record them in technology and development expenses in the consolidated statements of operations.</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We capitalize costs incurred in the application and infrastructure development stages, including significant enhancements and upgrades. Capitalization ends once a project is substantially complete and the software and technologies are ready for their intended purpose. We amortize internal use software development costs using a straight-line method over the estimated useful life of two to five years, commencing when the software is ready for its intended use.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an ongoing basis, we assess if the estimated remaining useful lives of capitalized projects continue to be reasonable based on the remaining expected benefit and usage. If the remaining useful life of a capitalized project is revised, it is accounted for as a change in estimate and the remaining unamortized cost of the underlying asset is amortized prospectively over the updated remaining useful life.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Stock-based compensation expense related to stock options, restricted stock units, and awards granted under our employee stock purchase plan (“ESPP”) is measured and recognized in our consolidated financial statements based on the fair value of the awards granted. The fair values of our ESPP and stock option awards are estimated on the grant date using the Black-Scholes option-pricing model. The fair value of restricted stock is calculated using the closing market price of our common stock on the date of grant.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Stock-based compensation expense related to stock options and restricted stock is recognized on a straight-line basis over the requisite service periods of the awards, which is generally four years. Stock-based compensation expense for ESPP awards is recognized on a graded-vesting attribution basis over the requisite service period of each award.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stock-based compensation and the assumptions used for determining the fair value of stock options and ESPP awards, refer to Note 2—Basis of Presentation and Summary of Significant Accounting Policies and Note 10—Stockholders’ Equity and Equity Incentive Plans.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Acquisition-related Intangible Assets and Goodwill</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Acquisition-related intangible assets with finite lives are amortized over their estimated useful lives on a straight-line basis, while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income tax provision may be significantly affected by changes to our estimates for tax in jurisdictions in which we operate and other estimates utilized in determining the global effective tax rate. Actual results may also differ from our estimate based on changes in economic conditions. Such changes could have a substantial impact on the income tax provision. We evaluate the judgments surrounding our estimates and make adjustments, as appropriate, each reporting period.</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Deferred income tax assets and liabilities are determined based upon the net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A valuation allowance is used to reduce some or all of the deferred tax assets if, based upon the weight of available evidence, it is more likely than not that those deferred tax assets will not be realized.</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our income tax provision in the accompanying consolidated statement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2 to our consolidated financial statements included in Part II, Item 8 of this Form 10-K, for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exposed to certain market risks in the ordinary course of our business. These risks primarily include: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had cash and cash equivalents of $100.5 million and marketable securities of $40.1 million as of December 31, 2024, which consisted of bank deposits, money market accounts, commercial paper, agency debt securities, and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December 31, 2024.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Exchange Risk</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$2.2 million and $2.0 million in our operating income for the year ended December 31, 2024 and December 31, 2023, respectively. A hypothetical 10% change in the U.S. Dollar to British Pound exchange rate could result in a change of $2.1 million and $1.7 million in our operating income for the year ended December 31, 2024 and December 31,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do not believe that inflation has had a material effect on our business, results of operations, or financial condition. If our costs were to become subject to significant inflationary pressures, for example in India or increases in data center base costs, we might not be able to fully offset such higher costs through price increases. Our inability or failure to do so could adversely affect our business, results of operations, and financial condition.</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ITEM 8. CONSOLIDATED FINANCIAL STATEMENTS AND SUPPLEMENTARY DATA</w:t>
      </w:r>
    </w:p>
    <w:p>
      <w:pPr>
        <w:spacing w:after="0" w:line="9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PUBMATIC, INC.</w:t>
      </w:r>
    </w:p>
    <w:p>
      <w:pPr>
        <w:spacing w:after="0" w:line="9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189"/>
        </w:trPr>
        <w:tc>
          <w:tcPr>
            <w:tcW w:w="75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No. 34)</w:t>
            </w: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60</w:t>
            </w: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3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4260" w:type="dxa"/>
            <w:vAlign w:val="bottom"/>
          </w:tcPr>
          <w:p>
            <w:pPr>
              <w:spacing w:after="0"/>
              <w:rPr>
                <w:sz w:val="16"/>
                <w:szCs w:val="16"/>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62</w:t>
            </w: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5360" w:type="dxa"/>
            <w:vAlign w:val="bottom"/>
            <w:gridSpan w:val="6"/>
          </w:tcPr>
          <w:p>
            <w:pPr>
              <w:spacing w:after="0"/>
              <w:rPr>
                <w:sz w:val="16"/>
                <w:szCs w:val="16"/>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63</w:t>
            </w:r>
          </w:p>
        </w:tc>
      </w:tr>
      <w:tr>
        <w:trPr>
          <w:trHeight w:val="20"/>
        </w:trPr>
        <w:tc>
          <w:tcPr>
            <w:tcW w:w="2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4640" w:type="dxa"/>
            <w:vAlign w:val="bottom"/>
            <w:gridSpan w:val="2"/>
          </w:tcPr>
          <w:p>
            <w:pPr>
              <w:spacing w:after="0"/>
              <w:rPr>
                <w:sz w:val="16"/>
                <w:szCs w:val="16"/>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64</w:t>
            </w:r>
          </w:p>
        </w:tc>
      </w:tr>
      <w:tr>
        <w:trPr>
          <w:trHeight w:val="20"/>
        </w:trPr>
        <w:tc>
          <w:tcPr>
            <w:tcW w:w="22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640" w:type="dxa"/>
            <w:vAlign w:val="bottom"/>
            <w:gridSpan w:val="2"/>
          </w:tcPr>
          <w:p>
            <w:pPr>
              <w:spacing w:after="0"/>
              <w:rPr>
                <w:sz w:val="16"/>
                <w:szCs w:val="16"/>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65</w:t>
            </w: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gridSpan w:val="2"/>
          </w:tcPr>
          <w:p>
            <w:pPr>
              <w:spacing w:after="0"/>
              <w:rPr>
                <w:sz w:val="16"/>
                <w:szCs w:val="16"/>
                <w:color w:val="auto"/>
              </w:rPr>
            </w:pPr>
          </w:p>
        </w:tc>
        <w:tc>
          <w:tcPr>
            <w:tcW w:w="4800" w:type="dxa"/>
            <w:vAlign w:val="bottom"/>
            <w:gridSpan w:val="3"/>
          </w:tcPr>
          <w:p>
            <w:pPr>
              <w:spacing w:after="0"/>
              <w:rPr>
                <w:sz w:val="16"/>
                <w:szCs w:val="16"/>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66</w:t>
            </w:r>
          </w:p>
        </w:tc>
      </w:tr>
      <w:tr>
        <w:trPr>
          <w:trHeight w:val="20"/>
        </w:trPr>
        <w:tc>
          <w:tcPr>
            <w:tcW w:w="22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5100" w:type="dxa"/>
            <w:vAlign w:val="bottom"/>
            <w:gridSpan w:val="4"/>
          </w:tcPr>
          <w:p>
            <w:pPr>
              <w:spacing w:after="0"/>
              <w:rPr>
                <w:sz w:val="16"/>
                <w:szCs w:val="16"/>
                <w:color w:val="auto"/>
              </w:rPr>
            </w:pPr>
          </w:p>
        </w:tc>
        <w:tc>
          <w:tcPr>
            <w:tcW w:w="328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color w:val="0000FF"/>
                <w:w w:val="99"/>
              </w:rPr>
              <w:t>67</w:t>
            </w: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00" w:top="210" w:right="7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PubMatic,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Opinions on the Financial Statements and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PubMatic, Inc. and subsidiaries (the "Company") as of December 31, 2024 and 2023, the related consolidated statements of operations, comprehensive income, stockholders' equity, and cash flows, for each of the three years in the period ended December 31, 2024, and the related notes (collectively referred to as the "financial statements"). We have also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 (COSO).</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COSO.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 — Refer to Note 2 to the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generates revenue through the monetization of publisher ad impressions on its platform. The Company charges publishers a fee, which is typically a percentage of the value of the ad impressions monetized through the platform. The Company recognizes revenue when a bid is won and a buyer purchases digital advertising inventory on its platform. The Company reports revenue net of payments to publishers. For the year ended December 31, 2024, the Company’s revenue was $291.3 million.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identified revenue as a critical audit matter because there is a significant audit effort required in performing our audit procedures, which include evaluating and testing the Company’s process, systems, and controls related to the revenue cycle.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Company’s revenue included the following, among others:</w:t>
      </w:r>
    </w:p>
    <w:p>
      <w:pPr>
        <w:spacing w:after="0" w:line="94" w:lineRule="exact"/>
        <w:rPr>
          <w:sz w:val="20"/>
          <w:szCs w:val="20"/>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controls related to the revenue cycle, including (i) general information technology (IT) controls over relevant systems used to process and record advertising transactions, including testing of user access controls, change management controls, and IT operations controls and (ii) controls in place to reconcile the various systems to the Company’s general ledger and to address the accuracy and completeness of data used to recognize revenue.</w:t>
      </w:r>
    </w:p>
    <w:p>
      <w:pPr>
        <w:spacing w:after="0" w:line="50"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generated synthetic transactions and traced the recording of these transactions into the Company’s systems to understand how revenue transactions are captured, processed, and aggregated.</w:t>
      </w:r>
    </w:p>
    <w:p>
      <w:pPr>
        <w:spacing w:after="0" w:line="24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used data analytics to inspect journal entries and identify relationships in the revenue population to (i) identify significant relationships in the revenue population and (ii) understand significant relationships and related accounts affecting revenue.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performed audit procedures on those related accounts determined to have a significant relationship with revenue, including sending confirmations to customers for a selection of accounts which included the receivable balances and related impression count for each selection, and selecting a sample of publisher payables and performing subsequent disbursements testing.</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performed a proof of cash reconciliation that reconciled cash to revenue and related revenue accounts.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DELOITTE &amp; TOUCHE LLP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2012.</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PUBMATIC, INC.</w:t>
      </w:r>
    </w:p>
    <w:p>
      <w:pPr>
        <w:spacing w:after="0" w:line="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par values)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Pr>
          <w:p>
            <w:pPr>
              <w:spacing w:after="0"/>
              <w:rPr>
                <w:sz w:val="12"/>
                <w:szCs w:val="12"/>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30"/>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78,509</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96,835</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375,468</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11,143</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575,546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561,955</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60,729</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21,102</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Acquisition-related intangible assets, net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29,577</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13,880</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non-current</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739,519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695,243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4"/>
        </w:trPr>
        <w:tc>
          <w:tcPr>
            <w:tcW w:w="822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386,602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347,673</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25,684</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w:t>
            </w:r>
          </w:p>
        </w:tc>
      </w:tr>
      <w:tr>
        <w:trPr>
          <w:trHeight w:val="18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418,810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379,593</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15,607</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462,256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399,044</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7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per share, 10,000 shares authorized as of December 31, 2024 and 2023; No shares issued and outstanding as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December 31, 2024 and 2023</w:t>
            </w: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$0.0001 per share; 1,000,000 Class A shares authorized as of December 31, 2024 and 2023; 48,177 shares issued and</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39,860 shares outstanding as of December 31, 2024; 45,542 shares issued and 41,502 shares outstanding as of December 31, 2023; 1,000,000</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shares authorized as of December 31, 2024 and 2023; 11,382 shares issued and 8,241 shares outstanding as of December 31, 2024;</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11,884 shares issued and 8,744 outstanding as of December 31, 2023</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11,458 and 7,180 shares as of December 31, 2024 and 2023, respectively</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(71,103)</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275,304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230,419</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149,385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136,881</w:t>
            </w: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277,263</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296,199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739,519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PUBMATIC,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6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267,014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256,380</w:t>
            </w:r>
          </w:p>
        </w:tc>
        <w:tc>
          <w:tcPr>
            <w:tcW w:w="0" w:type="dxa"/>
            <w:vAlign w:val="bottom"/>
          </w:tcPr>
          <w:p>
            <w:pPr>
              <w:spacing w:after="0"/>
              <w:rPr>
                <w:sz w:val="1"/>
                <w:szCs w:val="1"/>
                <w:color w:val="auto"/>
              </w:rPr>
            </w:pPr>
          </w:p>
        </w:tc>
      </w:tr>
      <w:tr>
        <w:trPr>
          <w:trHeight w:val="19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81,512</w:t>
            </w:r>
          </w:p>
        </w:tc>
        <w:tc>
          <w:tcPr>
            <w:tcW w:w="0" w:type="dxa"/>
            <w:vAlign w:val="bottom"/>
          </w:tcPr>
          <w:p>
            <w:pPr>
              <w:spacing w:after="0"/>
              <w:rPr>
                <w:sz w:val="1"/>
                <w:szCs w:val="1"/>
                <w:color w:val="auto"/>
              </w:rPr>
            </w:pP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167,785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174,868</w:t>
            </w:r>
          </w:p>
        </w:tc>
        <w:tc>
          <w:tcPr>
            <w:tcW w:w="0" w:type="dxa"/>
            <w:vAlign w:val="bottom"/>
          </w:tcPr>
          <w:p>
            <w:pPr>
              <w:spacing w:after="0"/>
              <w:rPr>
                <w:sz w:val="1"/>
                <w:szCs w:val="1"/>
                <w:color w:val="auto"/>
              </w:rPr>
            </w:pPr>
          </w:p>
        </w:tc>
      </w:tr>
      <w:tr>
        <w:trPr>
          <w:trHeight w:val="19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20,846</w:t>
            </w: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82,803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68,562</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44,940</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186,302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165,749</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134,348</w:t>
            </w:r>
          </w:p>
        </w:tc>
        <w:tc>
          <w:tcPr>
            <w:tcW w:w="0" w:type="dxa"/>
            <w:vAlign w:val="bottom"/>
          </w:tcPr>
          <w:p>
            <w:pPr>
              <w:spacing w:after="0"/>
              <w:rPr>
                <w:sz w:val="1"/>
                <w:szCs w:val="1"/>
                <w:color w:val="auto"/>
              </w:rPr>
            </w:pP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40,520</w:t>
            </w: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on equity investments</w:t>
            </w:r>
          </w:p>
        </w:tc>
        <w:tc>
          <w:tcPr>
            <w:tcW w:w="9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37,467</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62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income per share attributable to common stockholders:</w:t>
            </w:r>
          </w:p>
        </w:tc>
        <w:tc>
          <w:tcPr>
            <w:tcW w:w="9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to compute net income per share attributable to common stockholders: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51,760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54,294</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56,027</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PUBMATIC, INC.</w:t>
      </w:r>
    </w:p>
    <w:p>
      <w:pPr>
        <w:spacing w:after="0" w:line="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28,705</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foreign currency translation adjustment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PUBMATIC, INC.</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b w:val="1"/>
          <w:bCs w:val="1"/>
          <w:color w:val="auto"/>
        </w:rPr>
        <w:t>CONSOLIDATED STATEMENTS OF STOCKHOLDERS’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4360" w:type="dxa"/>
            <w:vAlign w:val="bottom"/>
          </w:tcPr>
          <w:p>
            <w:pPr>
              <w:spacing w:after="0"/>
              <w:rPr>
                <w:sz w:val="9"/>
                <w:szCs w:val="9"/>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Accumulated Other</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360" w:type="dxa"/>
            <w:vAlign w:val="bottom"/>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tcPr>
          <w:p>
            <w:pPr>
              <w:jc w:val="center"/>
              <w:ind w:right="140"/>
              <w:spacing w:after="0" w:line="74" w:lineRule="exact"/>
              <w:rPr>
                <w:sz w:val="20"/>
                <w:szCs w:val="20"/>
                <w:color w:val="auto"/>
              </w:rPr>
            </w:pPr>
            <w:r>
              <w:rPr>
                <w:rFonts w:ascii="Times New Roman" w:cs="Times New Roman" w:eastAsia="Times New Roman" w:hAnsi="Times New Roman"/>
                <w:sz w:val="8"/>
                <w:szCs w:val="8"/>
                <w:b w:val="1"/>
                <w:bCs w:val="1"/>
                <w:color w:val="auto"/>
              </w:rPr>
              <w:t>Additional Paid-In</w:t>
            </w:r>
          </w:p>
        </w:tc>
        <w:tc>
          <w:tcPr>
            <w:tcW w:w="80" w:type="dxa"/>
            <w:vAlign w:val="bottom"/>
          </w:tcPr>
          <w:p>
            <w:pPr>
              <w:spacing w:after="0"/>
              <w:rPr>
                <w:sz w:val="6"/>
                <w:szCs w:val="6"/>
                <w:color w:val="auto"/>
              </w:rPr>
            </w:pPr>
          </w:p>
        </w:tc>
        <w:tc>
          <w:tcPr>
            <w:tcW w:w="920" w:type="dxa"/>
            <w:vAlign w:val="bottom"/>
            <w:gridSpan w:val="2"/>
          </w:tcPr>
          <w:p>
            <w:pPr>
              <w:jc w:val="center"/>
              <w:ind w:right="160"/>
              <w:spacing w:after="0" w:line="74"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jc w:val="right"/>
              <w:ind w:right="18"/>
              <w:spacing w:after="0" w:line="74" w:lineRule="exact"/>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150"/>
        </w:trPr>
        <w:tc>
          <w:tcPr>
            <w:tcW w:w="4360" w:type="dxa"/>
            <w:vAlign w:val="bottom"/>
          </w:tcPr>
          <w:p>
            <w:pPr>
              <w:spacing w:after="0"/>
              <w:rPr>
                <w:sz w:val="13"/>
                <w:szCs w:val="13"/>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9"/>
                <w:szCs w:val="9"/>
                <w:b w:val="1"/>
                <w:bCs w:val="1"/>
                <w:color w:val="auto"/>
              </w:rPr>
              <w:t>Shares</w:t>
            </w:r>
          </w:p>
        </w:tc>
        <w:tc>
          <w:tcPr>
            <w:tcW w:w="3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Income (Loss)</w:t>
            </w: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Retained Earnings</w:t>
            </w:r>
          </w:p>
        </w:tc>
        <w:tc>
          <w:tcPr>
            <w:tcW w:w="100" w:type="dxa"/>
            <w:vAlign w:val="bottom"/>
          </w:tcPr>
          <w:p>
            <w:pPr>
              <w:spacing w:after="0"/>
              <w:rPr>
                <w:sz w:val="13"/>
                <w:szCs w:val="13"/>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8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51,855</w:t>
            </w: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(11,486)</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169,401</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99,295</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257,180</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22,121</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related to 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91"/>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28,705</w:t>
            </w:r>
          </w:p>
        </w:tc>
        <w:tc>
          <w:tcPr>
            <w:tcW w:w="0" w:type="dxa"/>
            <w:vAlign w:val="bottom"/>
          </w:tcPr>
          <w:p>
            <w:pPr>
              <w:spacing w:after="0"/>
              <w:rPr>
                <w:sz w:val="1"/>
                <w:szCs w:val="1"/>
                <w:color w:val="auto"/>
              </w:rPr>
            </w:pPr>
          </w:p>
        </w:tc>
      </w:tr>
      <w:tr>
        <w:trPr>
          <w:trHeight w:val="182"/>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 December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52,705</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(11,486)</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195,677</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128,000</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312,188</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31,324</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treasury stock, at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(4,040)</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(59,617)</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related to 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91"/>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8,881</w:t>
            </w:r>
          </w:p>
        </w:tc>
        <w:tc>
          <w:tcPr>
            <w:tcW w:w="0" w:type="dxa"/>
            <w:vAlign w:val="bottom"/>
          </w:tcPr>
          <w:p>
            <w:pPr>
              <w:spacing w:after="0"/>
              <w:rPr>
                <w:sz w:val="1"/>
                <w:szCs w:val="1"/>
                <w:color w:val="auto"/>
              </w:rPr>
            </w:pPr>
          </w:p>
        </w:tc>
      </w:tr>
      <w:tr>
        <w:trPr>
          <w:trHeight w:val="182"/>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 December 31,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50,246</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(71,103)</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230,419</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136,881</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296,199</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40,752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40,752</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treasury stock, at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(4,278)</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(75,693)</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related to 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0" w:type="dxa"/>
            <w:vAlign w:val="bottom"/>
          </w:tcPr>
          <w:p>
            <w:pPr>
              <w:spacing w:after="0"/>
              <w:rPr>
                <w:sz w:val="1"/>
                <w:szCs w:val="1"/>
                <w:color w:val="auto"/>
              </w:rPr>
            </w:pPr>
          </w:p>
        </w:tc>
      </w:tr>
      <w:tr>
        <w:trPr>
          <w:trHeight w:val="191"/>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12,504</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 December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48,101</w:t>
            </w:r>
          </w:p>
        </w:tc>
        <w:tc>
          <w:tcPr>
            <w:tcW w:w="6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(146,796)</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275,304</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149,385</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277,263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PUBMATIC, INC.</w:t>
      </w:r>
    </w:p>
    <w:p>
      <w:pPr>
        <w:spacing w:after="0" w:line="2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30"/>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1"/>
        </w:trPr>
        <w:tc>
          <w:tcPr>
            <w:tcW w:w="70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7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3"/>
        </w:trPr>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12,504</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8,881</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28,705</w:t>
            </w:r>
          </w:p>
        </w:tc>
      </w:tr>
      <w:tr>
        <w:trPr>
          <w:trHeight w:val="19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3"/>
        </w:trPr>
        <w:tc>
          <w:tcPr>
            <w:tcW w:w="7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34,249</w:t>
            </w:r>
          </w:p>
        </w:tc>
      </w:tr>
      <w:tr>
        <w:trPr>
          <w:trHeight w:val="19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Unrealized loss and impairment of equity investment</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5,948</w:t>
            </w:r>
          </w:p>
        </w:tc>
      </w:tr>
      <w:tr>
        <w:trPr>
          <w:trHeight w:val="183"/>
        </w:trPr>
        <w:tc>
          <w:tcPr>
            <w:tcW w:w="7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20,646</w:t>
            </w:r>
          </w:p>
        </w:tc>
      </w:tr>
      <w:tr>
        <w:trPr>
          <w:trHeight w:val="19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Deferred income taxes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(7,166)</w:t>
            </w:r>
          </w:p>
        </w:tc>
      </w:tr>
      <w:tr>
        <w:trPr>
          <w:trHeight w:val="19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Accretion of discount on marketable securities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r>
      <w:tr>
        <w:trPr>
          <w:trHeight w:val="183"/>
        </w:trPr>
        <w:tc>
          <w:tcPr>
            <w:tcW w:w="7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Non-cash lease expense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w:t>
            </w:r>
          </w:p>
        </w:tc>
      </w:tr>
      <w:tr>
        <w:trPr>
          <w:trHeight w:val="19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83"/>
        </w:trPr>
        <w:tc>
          <w:tcPr>
            <w:tcW w:w="7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9"/>
        </w:trPr>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(49,345)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(75,716)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(24,408)</w:t>
            </w:r>
          </w:p>
        </w:tc>
      </w:tr>
      <w:tr>
        <w:trPr>
          <w:trHeight w:val="183"/>
        </w:trPr>
        <w:tc>
          <w:tcPr>
            <w:tcW w:w="70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r>
      <w:tr>
        <w:trPr>
          <w:trHeight w:val="199"/>
        </w:trPr>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29,763</w:t>
            </w:r>
          </w:p>
        </w:tc>
      </w:tr>
      <w:tr>
        <w:trPr>
          <w:trHeight w:val="183"/>
        </w:trPr>
        <w:tc>
          <w:tcPr>
            <w:tcW w:w="70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Accrued liabilities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r>
      <w:tr>
        <w:trPr>
          <w:trHeight w:val="199"/>
        </w:trPr>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w:t>
            </w:r>
          </w:p>
        </w:tc>
      </w:tr>
      <w:tr>
        <w:trPr>
          <w:trHeight w:val="183"/>
        </w:trPr>
        <w:tc>
          <w:tcPr>
            <w:tcW w:w="7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Other liabilities, non-current</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2,289</w:t>
            </w:r>
          </w:p>
        </w:tc>
      </w:tr>
      <w:tr>
        <w:trPr>
          <w:trHeight w:val="18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73,425</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81,121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87,212</w:t>
            </w:r>
          </w:p>
        </w:tc>
      </w:tr>
      <w:tr>
        <w:trPr>
          <w:trHeight w:val="163"/>
        </w:trPr>
        <w:tc>
          <w:tcPr>
            <w:tcW w:w="7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and deposits on property and equipment</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(35,869)</w:t>
            </w:r>
          </w:p>
        </w:tc>
      </w:tr>
      <w:tr>
        <w:trPr>
          <w:trHeight w:val="183"/>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(13,024)</w:t>
            </w:r>
          </w:p>
        </w:tc>
      </w:tr>
      <w:tr>
        <w:trPr>
          <w:trHeight w:val="19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(142,016)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(137,793)</w:t>
            </w:r>
          </w:p>
        </w:tc>
      </w:tr>
      <w:tr>
        <w:trPr>
          <w:trHeight w:val="183"/>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sales of marketable securities</w:t>
            </w:r>
          </w:p>
        </w:tc>
        <w:tc>
          <w:tcPr>
            <w:tcW w:w="8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202,858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133,400</w:t>
            </w:r>
          </w:p>
        </w:tc>
      </w:tr>
      <w:tr>
        <w:trPr>
          <w:trHeight w:val="183"/>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Business combination, net of cash acquired</w:t>
            </w:r>
          </w:p>
        </w:tc>
        <w:tc>
          <w:tcPr>
            <w:tcW w:w="8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(28,085)</w:t>
            </w:r>
          </w:p>
        </w:tc>
      </w:tr>
      <w:tr>
        <w:trPr>
          <w:trHeight w:val="18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22,314</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(39,018)</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(81,371)</w:t>
            </w:r>
          </w:p>
        </w:tc>
      </w:tr>
      <w:tr>
        <w:trPr>
          <w:trHeight w:val="163"/>
        </w:trPr>
        <w:tc>
          <w:tcPr>
            <w:tcW w:w="7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 of business combination indemnification claims holdback</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for employee stock purchase plan</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r>
      <w:tr>
        <w:trPr>
          <w:trHeight w:val="19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183"/>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Principal payments on finance lease obligations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9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to acquire treasury stock</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(75,332)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(59,268)</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(73,478)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(55,976)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4,036</w:t>
            </w:r>
          </w:p>
        </w:tc>
      </w:tr>
      <w:tr>
        <w:trPr>
          <w:trHeight w:val="18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9,877</w:t>
            </w:r>
          </w:p>
        </w:tc>
      </w:tr>
      <w:tr>
        <w:trPr>
          <w:trHeight w:val="183"/>
        </w:trPr>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currency on cash</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 Beginning of Year</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78,509</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82,505</w:t>
            </w:r>
          </w:p>
        </w:tc>
      </w:tr>
      <w:tr>
        <w:trPr>
          <w:trHeight w:val="189"/>
        </w:trPr>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 End of Year</w:t>
            </w:r>
          </w:p>
        </w:tc>
        <w:tc>
          <w:tcPr>
            <w:tcW w:w="8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100,452</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78,509</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92,382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2"/>
        </w:trPr>
        <w:tc>
          <w:tcPr>
            <w:tcW w:w="70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3"/>
        </w:trPr>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paid</w:t>
            </w: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14,176</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15,631</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9,190</w:t>
            </w:r>
          </w:p>
        </w:tc>
      </w:tr>
      <w:tr>
        <w:trPr>
          <w:trHeight w:val="19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DISCLOSURES OF NON-CASH INVESTING AND FINANCING INFORMATION:</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3"/>
        </w:trPr>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capitalized as internal use software costs</w:t>
            </w: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r>
      <w:tr>
        <w:trPr>
          <w:trHeight w:val="19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included in accounts payable and accrued expenses</w:t>
            </w:r>
          </w:p>
        </w:tc>
        <w:tc>
          <w:tcPr>
            <w:tcW w:w="82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r>
      <w:tr>
        <w:trPr>
          <w:trHeight w:val="183"/>
        </w:trPr>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Capitalized software costs included in accounts payable and accrued expenses</w:t>
            </w: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w:t>
            </w:r>
          </w:p>
        </w:tc>
      </w:tr>
      <w:tr>
        <w:trPr>
          <w:trHeight w:val="19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Business combination purchase consideration - indemnification claims holdback</w:t>
            </w:r>
          </w:p>
        </w:tc>
        <w:tc>
          <w:tcPr>
            <w:tcW w:w="82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PUBMATIC,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Description of Business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fiscal year ends on December 31. References to fiscal year 2024, for example, refer to the fiscal year ended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of America (“GAAP”). The accompanying consolidated financial statements include the accounts of PubMatic, Inc. and its wholly-owned subsidiaries. All intercompany accounts and transactions have been eliminated in consolidation.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Significant items subject to such estimates include: revenue recognition criteria, including the determination of revenue reporting as net versus gross in the Company’s revenue arrangements, internal use software development costs, stock-based compensation, acquisition-related intangible assets, and income taxes, including the valuation reserve on deferred tax assets. The Company evaluates its estimates and assumptions on an ongoing basis using historical experience and other factors and adjusts those estimates and assumptions when facts and circumstances dictate. Actual results could materially differ from those estimates and assumptions.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Due to the inherent uncertainty involved in making assumptions and estimates, events and changes in circumstances arising after December 31, 2024, including macroeconomic factors, may result in actual outcomes that differ from those contemplated by the Company’s assumptions and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 of credit risk consist principally of cash and cash equivalents, marketable securities, and accounts receivable. The Company maintains its cash and cash equivalents with financial institutions in amounts which exceed Federal Deposit Insurance Corporation limits.</w:t>
      </w:r>
    </w:p>
    <w:p>
      <w:pPr>
        <w:spacing w:after="0" w:line="39"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The Company’s investment policy limits investments to certain types of securities issued by the U.S. government and its agencies and institutions with investment-grade credit ratings and places restrictions on maturities and concentration by type and issuer. The primary objective of its investment activities is to preserve principal while maximizing income without significantly increasing risk.</w:t>
      </w:r>
    </w:p>
    <w:p>
      <w:pPr>
        <w:spacing w:after="0" w:line="2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defines its revenue concentration based on revenue recognized from individual publishers. For the years ended December 31, 2024 and 2023, no publisher represented more than 10% of the Company’s revenue. For the year ended December 31, 2022, one publisher represented 13% of the Company’s revenue. As of December 31, 2024, two buyers accounted for 44% and 11%, respectively, of accounts receivable. As of December 31, 2023, three buyers accounted for 30%, 21%, and 14%, respectively, of accounts receivable.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at the date of purchase of three months or less to be cash equivalents.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classifies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twelve months, as current assets in the consolidated balance sheets. These marketable securities are carried at fair value and unrealized gains and losses are recorded in other comprehensive income, which is reflected as a component of stockholders’ equity. These marketable securities are assessed as to whether those with unrealized loss positions are other than temporarily impaired. The Company considers impairments to be other than temporary if they are related to deterioration in credit risk or if it is likely the securities will be sold before the recovery of their cost basis. Realized gains and losses from the sale of marketable securities and declines in value deemed to be other than temporary are determined based on the specific identification method. Realized gains and losses, and any expected credit losses, are reported in other income (expense), net in the consolidated statements of operations and comprehensive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Financial instruments consist of cash equivalents, marketable securities, accounts receivable, accounts payable, and accrued liabilities. Cash equivalents and marketable securities are remeasured at fair value at the end of every period. Accounts receivable, accounts payable and accrued liabilities are stated at their carrying value, which approximates fair value due to the short time to the expected receipt or payment.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The Company reviews the allowance for credit losses on a quarterly basis. Account balances are written off against the allowance when the Company believes it is probable the receivable will not be recovered.</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changes in the allowance for credit losses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beginning balance</w:t>
            </w:r>
          </w:p>
        </w:tc>
        <w:tc>
          <w:tcPr>
            <w:tcW w:w="98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Write-offs</w:t>
            </w: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 ending balance</w:t>
            </w: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w:t>
            </w:r>
          </w:p>
        </w:tc>
      </w:tr>
      <w:tr>
        <w:trPr>
          <w:trHeight w:val="20"/>
        </w:trPr>
        <w:tc>
          <w:tcPr>
            <w:tcW w:w="6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year ended December 31,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Property and equipment, including leasehold improvements, are stated at cost, less accumulated depreciation and amortization. Depreciation is computed using the straight-line method over the estimated useful lives of the related assets, generally three years. Leasehold improvements are amortized on a straight-line basis over the shorter of the estimated useful lives of the assets or the remaining lease term.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Use Software Development Costs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capitalizes certain internal use software development costs associated with creating and enhancing internal use software related to its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technology and development expenses in the consolidated statements of operations and comprehensive income.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capitalizes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two to five years, commencing when the software is ready for its intended use.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leases may include a non-lease component representing additional services transferred to the Company, such as common area maintenance for real estate. The Company accounts for each separate lease component and the non-lease components associated with that lease component as a single lease component. As such, minimum lease payments include fixed payments for non-lease components within a lease agreement but exclude variable lease payments not dependent on an index or rate, such as common area maintenance, operating expenses, utilities, or other costs that are subject to fluctuation from period to period. Non-lease components that are variable in nature are recorded as variable lease expense in the period incurred.</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allocation of lease payments is determined based on the relative standalone price of the separate office and furniture components. Some leases include an option to renew, generally at the Company’s sole discretion, with renewal terms that can extend the lease term up to five additional years. In addition, certain leases contain termination options, where the rights to terminate are held by either the Company, the lessor, or both parties. These options to extend or terminate a lease are not included in the lease terms as the Company is not reasonably certain that they will exercise that option. The Company’s leases generally do not contain any material restrictive covenants.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recognizes its lease right of use assets (“ROU assets”) and lease liabilities based on the present value of lease payments over the lease term at the commencement date of the 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ROU assets also include any initial direct costs incurred and lease payments made at or before the commencement date and are reduced by any lease incentives.</w:t>
      </w:r>
    </w:p>
    <w:p>
      <w:pPr>
        <w:spacing w:after="0" w:line="7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56"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Operating ROU assets and liabilities are included on the Company’s consolidated balance sheets. Finance lease assets are included in property, equipment and software, net. Finance lease liabilities are included in accrued liabilities and other liabilities, non-current. The Company does not recognize ROU assets or lease liabilities for leases with a term of 12 months or less for any asset classes.</w:t>
      </w:r>
    </w:p>
    <w:p>
      <w:pPr>
        <w:spacing w:after="0" w:line="2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continually monitors events and changes in circumstances that could indicate that carrying amounts of its long-lived assets, including property and equipment and intangible assets may not be recoverable. When such events or changes in circumstances occur, the Company assesses the recoverability of long-lived assets by determining whether the carrying value of such assets will be recovered through their undiscounted expected future cash flows. If the future undiscounted cash flows are less than the carrying value of these assets, the Company recognizes an impairment loss based on the excess of the carrying value over the fair value of the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Acquisition-related Intangible Assets and Goodwill</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Acquisition-related intangible assets with finite lives are amortized over their estimated useful lives on a straight-line basis.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has not recorded any acquisition-related intangible assets or goodwill impairment to 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Equity Investment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holds one privately held equity security investment in which the Company does not have a controlling interest or significant influence. The investment is recorded at cost and adjusted only for observable transactions for same or similar investments of the same issuer or impairment events (referred to as the measurement alternative).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result of an impairment event where the Company concluded there was no longer a readily determinable fair value for its equity investment, an impairment charge of $5.9 million was recorded within other income (expense), net in the Company’s consolidated statements of operations for the year ended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recognizes revenue through the following steps:</w:t>
      </w:r>
    </w:p>
    <w:p>
      <w:pPr>
        <w:spacing w:after="0" w:line="94"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a contract with a customer;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performance obligations are satisfied.</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refers to its publishers, app developers, and channel partners collectively as its publishers. The Company generates revenue through the monetization of publisher ad impressions on its platform. The Company’s platform allows publishers to sell, in real time, ad impressions to buyers and provides automated inventory management and monetization tools to publishers across various device types and digital ad formats. The Company charges publishers a fee, which is typically a percentage of the value of the ad impressions monetized through the Company’s platform.</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maintains agreements with each publisher and buyer in the form of written service agreements, which set out the terms of the relationship, including payment terms (typically ninety days or less) and access to its platform.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invoices buyers for publisher digital advertising inventory purchased through its platform. The Company recognizes revenue when a bid is won and a buyer purchases inventory on its platform. The Company records revenue reductions for rebates associated with SPO agreements with buyers. These rebates may be fixed or tiered based on the volume of spend over the incentive period. For volume-based rebate rates, the Company estimates and records revenue reductions based on the expected volumes during the incentive term.</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determination as to whether revenue should be reported gross of amounts billed to buyers (gross basis) or net of payments to publishers (net basis) requires significant judgment, and is based on the Company’s assessment of whether it is acting as the principal or an agent in the transaction. The Company has determined that it does not act as the principal in the purchase and sale of digital advertising inventory because it does not control the advertising inventory and it does not set the price which is the result of an auction within the marketplace. Based on these and other factors, the Company reports revenue on a net basis.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invoices buyers at the end of each month for the full purchase price of ad impressions monetized in that month. Accounts receivable are recorded at the amount of gross billings for the amounts the Company is responsible to collect, and accounts payable are recorded at the net amount payable to publishers. Accordingly, both accounts receivable and accounts payable appear large in relation to revenue reported on a net basis.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 of revenue consists primarily of data center co-location costs, depreciation expense related to hardware supporting the Company’s platform, amortization expense related to capitalized internal use software development costs and acquired developed technology, personnel costs, and allocated facilities costs. Personnel costs include salaries, bonuses, stock-based compensation, and employee benefit costs, and are primarily attributable to the Company’s network operations group which maintains the Company’s servers and the Company’s client operations group, which is responsible for integration of new publishers and buyers and providing customer support for existing customers.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Development Costs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Technology and development expenses consist primarily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meets the criteria for capitalization. The Company amortizes internal use software development costs that relate to its revenue producing activities on its platform to cost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Advertising costs are expensed as incurred and are included in sales and marketing expenses. The Company’s advertising costs recorded during the years ended December 31, 2024, 2023 and 2022 were not material.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Stock-based compensation expense related to stock awards, including stock options and restricted stock units (“RSUs”), is measured based on the fair value of the awards granted and recognized as an expense on a straight-line basis over the requisite service period of the awards, which is generally the vesting term of four years.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each option award is estimated on the grant date using the Black-Scholes option pricing model.</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each RSU award is based on the fair value of the underlying common stock as of the grant date.</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Stock-based compensation expense related to the Company’s Employee Stock Purchase Plan (“ESPP”) is measured at fair value on the grant date using the Black-Scholes option pricing model. The Company recognizes stock-based compensation expense related to shares issued pursuant to the ESPP on a straight-line basis over the offering period, which is 12 months. The ESPP allows employees to purchase shares of the Company's common stock at a 15% percent discount from the lower of the Company’s stock price on (i) the first day of the offering period or on (ii) the last day of each of the two six-month purchase periods. The ESPP also allows employees to reduce their percentage election but not to increase that election until the next one-year offering period. The ESPP includes a reset provision for the purchase price if the stock price on the purchase date is less than the stock price on the offering date.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assumptions used to determine the fair value of the stock awards represent management’s best estimates. These estimates involve inherent uncertainties and the application of management’s judgment. The Company accounts for forfeitures as they occur. For additional information regarding stock-based compensation and the assumptions used for determining the fair value of stock options and ESPP awards, refer to Note 10—Stockholders’ Equity and Equity Incentive Plans.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Transactions in foreign currencies are translated into the functional currency of the applicable entity at the rates of exchange in effect at the date of the transaction. Accordingly, all monetary assets and liabilities of these subsidiaries are remeasured at the current exchange rate at each balance sheet date, nonmonetary assets and liabilities are measured at historical rates, and revenue and expenses are remeasured at average exchange rates during the period. Transaction gains and losses are included in other income (expense), net in the accompanying consolidated statements of operations. The Company’s net foreign currency gain (losses) recorded during the years ended December 31, 2024, 2023 and 2022 were $1.1 million, ($1.5 million), and $0.7 million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utilizes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related to income tax matters as income tax expense.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Per Share Attributable to Common Stockholders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Basic and diluted net income per share attributable to Class A and Class B common stock is computed in conformity with the two-class method required for participating securities. The Company applies the two-class method to allocate earnings between common and other participating securities based on their participation rights.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the Company’s Class A and Class B common stock outstanding.</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requires additional disclosures for segment reporting, including disclosure of the title and position of the Chief Operating Decision Maker and requires a public entity that has a single reportable segment to provide all the disclosures required by the amendments in ASU 2023-07, and all existing segment disclosures in Topic 280. ASU 2023-07 is effective for fiscal periods beginning after December 15, 2023, and interim periods within fiscal years beginning after December 15, 2024. The Company adopted ASU 2023-07 during the year ended December 31, 2024 retrospectively to all periods presented in the consolidated financial statements. See Note 13 Segment and Geographical Information in the accompanying notes to the consolidated financial statements for further detail.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financial statement disclosures.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adopting ASU 2024-03 will have on its financial statement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Fair Value Measurements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Assets and liabilities recorded at fair value on a recurring basis in the consolidated balance sheets are categorized based upon the level of judgment associated with the inputs used to measure their fair values. Fair value represents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56"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Inputs are unadjusted, quoted prices in active markets for identical assets or liabilities at the measurement date;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are significant to the measurement of the fair value of the assets or liabilities that are supported by little or no market data.</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set forth the fair value of the Company’s financial assets and liabilities measured on a recurring basis by level within the fair value hierarchy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gridSpan w:val="3"/>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1"/>
        </w:trPr>
        <w:tc>
          <w:tcPr>
            <w:tcW w:w="50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57,998</w:t>
            </w:r>
          </w:p>
        </w:tc>
        <w:tc>
          <w:tcPr>
            <w:tcW w:w="80" w:type="dxa"/>
            <w:vAlign w:val="bottom"/>
          </w:tcPr>
          <w:p>
            <w:pPr>
              <w:spacing w:after="0"/>
              <w:rPr>
                <w:sz w:val="16"/>
                <w:szCs w:val="16"/>
                <w:color w:val="auto"/>
              </w:rPr>
            </w:pP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57,998</w:t>
            </w:r>
          </w:p>
        </w:tc>
      </w:tr>
      <w:tr>
        <w:trPr>
          <w:trHeight w:val="22"/>
        </w:trPr>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9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14,821</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equivalents</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57,998</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17,117</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75,115</w:t>
            </w:r>
          </w:p>
        </w:tc>
      </w:tr>
      <w:tr>
        <w:trPr>
          <w:trHeight w:val="18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9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27,837</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27,837</w:t>
            </w:r>
          </w:p>
        </w:tc>
      </w:tr>
      <w:tr>
        <w:trPr>
          <w:trHeight w:val="22"/>
        </w:trPr>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and government debt securities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12,298</w:t>
            </w:r>
          </w:p>
        </w:tc>
      </w:tr>
      <w:tr>
        <w:trPr>
          <w:trHeight w:val="18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9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40,135</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40,135</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financial assets</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57,998</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57,252</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115,250</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4"/>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gridSpan w:val="3"/>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
        </w:trPr>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1"/>
        </w:trPr>
        <w:tc>
          <w:tcPr>
            <w:tcW w:w="50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42,126</w:t>
            </w:r>
          </w:p>
        </w:tc>
        <w:tc>
          <w:tcPr>
            <w:tcW w:w="80" w:type="dxa"/>
            <w:vAlign w:val="bottom"/>
          </w:tcPr>
          <w:p>
            <w:pPr>
              <w:spacing w:after="0"/>
              <w:rPr>
                <w:sz w:val="16"/>
                <w:szCs w:val="16"/>
                <w:color w:val="auto"/>
              </w:rPr>
            </w:pP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42,126</w:t>
            </w:r>
          </w:p>
        </w:tc>
      </w:tr>
      <w:tr>
        <w:trPr>
          <w:trHeight w:val="22"/>
        </w:trPr>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12,528</w:t>
            </w:r>
          </w:p>
        </w:tc>
      </w:tr>
      <w:tr>
        <w:trPr>
          <w:trHeight w:val="18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equivalents</w:t>
            </w:r>
          </w:p>
        </w:tc>
        <w:tc>
          <w:tcPr>
            <w:tcW w:w="9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42,126</w:t>
            </w: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54,654</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50,962</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50,962</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debt securities</w:t>
            </w:r>
          </w:p>
        </w:tc>
        <w:tc>
          <w:tcPr>
            <w:tcW w:w="9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r>
      <w:tr>
        <w:trPr>
          <w:trHeight w:val="22"/>
        </w:trPr>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and government debt securities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42,878</w:t>
            </w:r>
          </w:p>
        </w:tc>
      </w:tr>
      <w:tr>
        <w:trPr>
          <w:trHeight w:val="18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9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96,835</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96,835</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financial assets</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151,489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transfers between Level 1 and Level 2 fair value measurement categories during the years ended December 31, 2024 and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Balance Sheet Components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the Company’s marketable securities by significant investment categories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3"/>
          </w:tcPr>
          <w:p>
            <w:pPr>
              <w:jc w:val="right"/>
              <w:ind w:right="69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1"/>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0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 Loss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30"/>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27,837</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government debt securities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12,298</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8"/>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40,135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04"/>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3"/>
          </w:tcPr>
          <w:p>
            <w:pPr>
              <w:jc w:val="right"/>
              <w:ind w:right="69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1"/>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0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 Loss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30"/>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50,962</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debt securities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r>
      <w:tr>
        <w:trPr>
          <w:trHeight w:val="22"/>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and government debt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42,878</w:t>
            </w:r>
          </w:p>
        </w:tc>
      </w:tr>
      <w:tr>
        <w:trPr>
          <w:trHeight w:val="203"/>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96,839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96,835</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82"/>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remaining contractual maturity of all marketable securities was within one year as of December 31, 2024 and 2023. Realized gains and losses were not material for the years ended December 31, 2024, 2023 and 2022. As of December 31, 2024, and 2023 there were no securities that were in an unrealized loss position for more than twelve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Equipment and Software,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equipment and software, net consisted of the following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90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56,257</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Network hardware, computer equipment and software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153,838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137,709</w:t>
            </w:r>
          </w:p>
        </w:tc>
      </w:tr>
      <w:tr>
        <w:trPr>
          <w:trHeight w:val="22"/>
        </w:trPr>
        <w:tc>
          <w:tcPr>
            <w:tcW w:w="8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9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equipment and software, gross</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234,065</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201,443</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(175,543)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(140,714)</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equipment and software, net</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related to property, equipment, and software (excluding amortization of internal use software) was $24.8 million, $28.5 million, and $23.6 million for the years ended December 31, 2024, 2023 and 2022, respectively.</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capitalized $23.4 million, $21.3 million, and $14.5 million in software development costs during the years ended December 31, 2024, 2023 and 2022, respectively. Fully-amortized software development costs of $7.3 million have been removed from internal-use software and accumulated depreciation and amortization for the year ended December 31, 2024. Amortization expense of internal use software was $18.9 million, $13.9 million, and $10.0 million for the years ended December 31, 2024, 2023 and 2022, respectively. These costs are included within cost of revenue in the consolidated statements of operations.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did not recognize any impairment charges on its long-lived assets during the years ended December 31, 2024, 2023 and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consisted of the following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6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640" w:type="dxa"/>
            <w:vAlign w:val="bottom"/>
          </w:tcPr>
          <w:p>
            <w:pPr>
              <w:spacing w:after="0"/>
              <w:rPr>
                <w:sz w:val="12"/>
                <w:szCs w:val="12"/>
                <w:color w:val="auto"/>
              </w:rPr>
            </w:pPr>
          </w:p>
        </w:tc>
        <w:tc>
          <w:tcPr>
            <w:tcW w:w="4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464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publishers</w:t>
            </w:r>
          </w:p>
        </w:tc>
        <w:tc>
          <w:tcPr>
            <w:tcW w:w="45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335,061</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3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0" w:type="dxa"/>
            <w:vAlign w:val="bottom"/>
          </w:tcPr>
          <w:p>
            <w:pPr>
              <w:spacing w:after="0"/>
              <w:rPr>
                <w:sz w:val="1"/>
                <w:szCs w:val="1"/>
                <w:color w:val="auto"/>
              </w:rPr>
            </w:pP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accounts payable</w:t>
            </w:r>
          </w:p>
        </w:tc>
        <w:tc>
          <w:tcPr>
            <w:tcW w:w="4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347,673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Liabilities</w:t>
            </w:r>
          </w:p>
        </w:tc>
        <w:tc>
          <w:tcPr>
            <w:tcW w:w="3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64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liabilities consisted of the following (in thousands):</w:t>
            </w:r>
          </w:p>
        </w:tc>
        <w:tc>
          <w:tcPr>
            <w:tcW w:w="3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6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640" w:type="dxa"/>
            <w:vAlign w:val="bottom"/>
          </w:tcPr>
          <w:p>
            <w:pPr>
              <w:spacing w:after="0"/>
              <w:rPr>
                <w:sz w:val="12"/>
                <w:szCs w:val="12"/>
                <w:color w:val="auto"/>
              </w:rPr>
            </w:pPr>
          </w:p>
        </w:tc>
        <w:tc>
          <w:tcPr>
            <w:tcW w:w="4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464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45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19,977</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18,784</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3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0" w:type="dxa"/>
            <w:vAlign w:val="bottom"/>
          </w:tcPr>
          <w:p>
            <w:pPr>
              <w:spacing w:after="0"/>
              <w:rPr>
                <w:sz w:val="1"/>
                <w:szCs w:val="1"/>
                <w:color w:val="auto"/>
              </w:rPr>
            </w:pP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4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433"/>
              <w:spacing w:after="0"/>
              <w:rPr>
                <w:sz w:val="20"/>
                <w:szCs w:val="20"/>
                <w:color w:val="auto"/>
              </w:rPr>
            </w:pPr>
            <w:r>
              <w:rPr>
                <w:rFonts w:ascii="Times New Roman" w:cs="Times New Roman" w:eastAsia="Times New Roman" w:hAnsi="Times New Roman"/>
                <w:sz w:val="14"/>
                <w:szCs w:val="14"/>
                <w:color w:val="auto"/>
              </w:rPr>
              <w:t>75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6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Senior Secured Credit Facilities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Secured Credit Facilities Agreement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October 17, 2022, the Company entered into a Senior Secured Credit Facilities Credit Agreement (the “Credit Agreement”) with the several lenders parties thereto (the “Lenders”), and Silicon Valley Bank (“SVB”), as administrative agent, lead arranger, issuing lender, and swingline lender.</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9)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Credit Agreement matures on October 17, 2027.</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The Company was in compliance with these covenants as of December 31, 2024.</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may use amounts borrowed under the Credit Agreement to refinance the Existing Credit Agreement, for general corporate purposes or working capital financing. The Company may borrow additional amounts under the Credit Agreement from time to time as opportunities and needs arise.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Leases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leases office facilities from unrelated parties under operating lease agreements that have initial terms ranging from two to seven years. Included in an office lease the Company also leases furniture and fixtures under a finance lease with a seven year term with a purchase option at the end of the term.</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operating and finance lease costs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3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5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336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574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0" w:type="dxa"/>
            <w:vAlign w:val="bottom"/>
          </w:tcPr>
          <w:p>
            <w:pPr>
              <w:spacing w:after="0"/>
              <w:rPr>
                <w:sz w:val="1"/>
                <w:szCs w:val="1"/>
                <w:color w:val="auto"/>
              </w:rPr>
            </w:pPr>
          </w:p>
        </w:tc>
      </w:tr>
      <w:tr>
        <w:trPr>
          <w:trHeight w:val="191"/>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4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2"/>
        </w:trPr>
        <w:tc>
          <w:tcPr>
            <w:tcW w:w="336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cost</w:t>
            </w:r>
          </w:p>
        </w:tc>
        <w:tc>
          <w:tcPr>
            <w:tcW w:w="5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2433"/>
              <w:spacing w:after="0"/>
              <w:rPr>
                <w:sz w:val="20"/>
                <w:szCs w:val="20"/>
                <w:color w:val="auto"/>
              </w:rPr>
            </w:pPr>
            <w:r>
              <w:rPr>
                <w:rFonts w:ascii="Times New Roman" w:cs="Times New Roman" w:eastAsia="Times New Roman" w:hAnsi="Times New Roman"/>
                <w:sz w:val="14"/>
                <w:szCs w:val="14"/>
                <w:color w:val="auto"/>
              </w:rPr>
              <w:t>76</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3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thousands):</w:t>
      </w:r>
    </w:p>
    <w:p>
      <w:pPr>
        <w:spacing w:after="0" w:line="89"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measurement of lease liabilities: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outflows - payments on operating leases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5,789</w:t>
            </w: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lease obligations: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29,909</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r>
    </w:tbl>
    <w:p>
      <w:pPr>
        <w:spacing w:after="0" w:line="20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July 2024, the Company entered into an agreement to continue to lease approximately 30,000 square feet of office space located in New York City, New York (“July 2024 Lease”), which was previously subleased. The original sublease agreement for the space was set to expire in January 2025. The July 2024 Lease extends the lease term through January 2036 and grants the Company the right to use an additional floor in the building, also comprised of approximately 30,000 square feet, which has yet to commence. The Company will use the aggregate space to support its general and administrative functions, sales and marketing, technology and development, engineering and customer support. The Company has the option to exercise an early termination at either of two different points during the lease term, neither of which has been reflected in the lease term. The Company has provided an irrevocable letter of credit in the amount of approximately $1.5 million, pursuant to the terms of the July 2024 Lease.</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6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44,402</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96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15,607</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Furniture and fixtures</w:t>
            </w:r>
          </w:p>
        </w:tc>
        <w:tc>
          <w:tcPr>
            <w:tcW w:w="96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depreciation</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Furniture and fixtures, net</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Accrued liabilities</w:t>
            </w:r>
          </w:p>
        </w:tc>
        <w:tc>
          <w:tcPr>
            <w:tcW w:w="960" w:type="dxa"/>
            <w:vAlign w:val="bottom"/>
          </w:tcPr>
          <w:p>
            <w:pPr>
              <w:jc w:val="right"/>
              <w:ind w:right="791"/>
              <w:spacing w:after="0" w:line="15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3"/>
                <w:szCs w:val="13"/>
                <w:color w:val="auto"/>
              </w:rPr>
            </w:pPr>
          </w:p>
        </w:tc>
        <w:tc>
          <w:tcPr>
            <w:tcW w:w="460" w:type="dxa"/>
            <w:vAlign w:val="bottom"/>
          </w:tcPr>
          <w:p>
            <w:pPr>
              <w:jc w:val="right"/>
              <w:ind w:right="3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203"/>
        </w:trPr>
        <w:tc>
          <w:tcPr>
            <w:tcW w:w="8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96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information related to leases was as follows:</w:t>
      </w:r>
    </w:p>
    <w:p>
      <w:pPr>
        <w:spacing w:after="0" w:line="89"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w:t>
            </w:r>
          </w:p>
        </w:tc>
        <w:tc>
          <w:tcPr>
            <w:tcW w:w="9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r>
      <w:tr>
        <w:trPr>
          <w:trHeight w:val="191"/>
        </w:trPr>
        <w:tc>
          <w:tcPr>
            <w:tcW w:w="9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years</w:t>
            </w:r>
          </w:p>
        </w:tc>
      </w:tr>
      <w:tr>
        <w:trPr>
          <w:trHeight w:val="22"/>
        </w:trPr>
        <w:tc>
          <w:tcPr>
            <w:tcW w:w="8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 years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years</w:t>
            </w:r>
          </w:p>
        </w:tc>
      </w:tr>
      <w:tr>
        <w:trPr>
          <w:trHeight w:val="191"/>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8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r>
      <w:tr>
        <w:trPr>
          <w:trHeight w:val="191"/>
        </w:trPr>
        <w:tc>
          <w:tcPr>
            <w:tcW w:w="9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2.24 %</w:t>
            </w:r>
          </w:p>
        </w:tc>
      </w:tr>
      <w:tr>
        <w:trPr>
          <w:trHeight w:val="732"/>
        </w:trPr>
        <w:tc>
          <w:tcPr>
            <w:tcW w:w="804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77</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87"/>
        </w:trPr>
        <w:tc>
          <w:tcPr>
            <w:tcW w:w="80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the maturities of lease liabilities under operating and finance leases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Finance Leases</w:t>
            </w: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6,662</w:t>
            </w:r>
          </w:p>
        </w:tc>
      </w:tr>
      <w:tr>
        <w:trPr>
          <w:trHeight w:val="22"/>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9,008</w:t>
            </w:r>
          </w:p>
        </w:tc>
      </w:tr>
      <w:tr>
        <w:trPr>
          <w:trHeight w:val="22"/>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w:t>
            </w:r>
          </w:p>
        </w:tc>
      </w:tr>
      <w:tr>
        <w:trPr>
          <w:trHeight w:val="22"/>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24,086</w:t>
            </w:r>
          </w:p>
        </w:tc>
      </w:tr>
      <w:tr>
        <w:trPr>
          <w:trHeight w:val="18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57,902</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58,403</w:t>
            </w:r>
          </w:p>
        </w:tc>
      </w:tr>
      <w:tr>
        <w:trPr>
          <w:trHeight w:val="22"/>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w:t>
            </w:r>
          </w:p>
        </w:tc>
      </w:tr>
      <w:tr>
        <w:trPr>
          <w:trHeight w:val="203"/>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present value of lease liabilities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45,864</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Business Combination</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September 16, 2022, the Company acquired all outstanding stock of ConsultMates, Inc. (dba “Martin”), a media measurement and reporting platform, for $30.8 million. The purchase price was attributed to $7.9 million of developed technology intangible assets, $1.0 million of customer relationship intangible assets, $23.3 million of goodwill, $1.1 million of deferred tax liabilities, and $0.3 million of net liabilities assumed. The fair value of the acquired developed technology intangible asset was estimated using the excess earnings method. The goodwill recognized was primarily attributable to the assembled workforce and the expected synergies from integrating Martin’s technology into the Company’s platform. Goodwill is not deductible for tax purposes. The financial results of Martin are included in the Company’s consolidated financial statements from the date of acquisition. Acquisition-related costs were $0.9 million and are included in general and administrative expenses in the consolidated statements of operations for the year ended December 31,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Goodwill and Acquisition-related Intangible Assets, Net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Goodwill as of December 31, 2024 and 2023 was $29.6 million. There were no accumulated impairment losses as of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Acquisition-related Intangible Assets,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Acquisition-related intangible assets, net consisted of the following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3"/>
          </w:tcPr>
          <w:p>
            <w:pPr>
              <w:jc w:val="right"/>
              <w:ind w:right="95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2"/>
                <w:szCs w:val="12"/>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Useful Life (in years)</w:t>
            </w:r>
          </w:p>
        </w:tc>
        <w:tc>
          <w:tcPr>
            <w:tcW w:w="0" w:type="dxa"/>
            <w:vAlign w:val="bottom"/>
          </w:tcPr>
          <w:p>
            <w:pPr>
              <w:spacing w:after="0"/>
              <w:rPr>
                <w:sz w:val="1"/>
                <w:szCs w:val="1"/>
                <w:color w:val="auto"/>
              </w:rPr>
            </w:pPr>
          </w:p>
        </w:tc>
      </w:tr>
      <w:tr>
        <w:trPr>
          <w:trHeight w:val="30"/>
        </w:trPr>
        <w:tc>
          <w:tcPr>
            <w:tcW w:w="5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acquisition-related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3"/>
          </w:tcPr>
          <w:p>
            <w:pPr>
              <w:jc w:val="right"/>
              <w:ind w:right="95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5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0" w:type="dxa"/>
            <w:vAlign w:val="bottom"/>
          </w:tcPr>
          <w:p>
            <w:pPr>
              <w:spacing w:after="0"/>
              <w:rPr>
                <w:sz w:val="1"/>
                <w:szCs w:val="1"/>
                <w:color w:val="auto"/>
              </w:rPr>
            </w:pPr>
          </w:p>
        </w:tc>
      </w:tr>
      <w:tr>
        <w:trPr>
          <w:trHeight w:val="159"/>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3"/>
                <w:szCs w:val="1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Useful Life (in years)</w:t>
            </w:r>
          </w:p>
        </w:tc>
        <w:tc>
          <w:tcPr>
            <w:tcW w:w="0" w:type="dxa"/>
            <w:vAlign w:val="bottom"/>
          </w:tcPr>
          <w:p>
            <w:pPr>
              <w:spacing w:after="0"/>
              <w:rPr>
                <w:sz w:val="1"/>
                <w:szCs w:val="1"/>
                <w:color w:val="auto"/>
              </w:rPr>
            </w:pPr>
          </w:p>
        </w:tc>
      </w:tr>
      <w:tr>
        <w:trPr>
          <w:trHeight w:val="30"/>
        </w:trPr>
        <w:tc>
          <w:tcPr>
            <w:tcW w:w="5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acquisition-related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auto"/>
            </w:tcBorders>
            <w:gridSpan w:val="6"/>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78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Amortization expense related to acquisition-related intangibles was $1.6 million and $2.4 million for the years ended December 31, 2024 and 2023.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8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As of December 31, 2024, estimated future amortization expense for acquisition-related intangible assets was as follows (in thousands):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5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22"/>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202"/>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estimated future amortization expense for acquisition-related intangible assets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9 – Commitments and Contingencies</w:t>
            </w: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The Company’s purchase obligations primarily relate to minimum contractual payments due to data center providers.</w:t>
            </w: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78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As of December 31, 2024, future minimum commitments for purchase obligations with a remaining term in excess of one year were as follows (in thousands):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21,872</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0" w:type="dxa"/>
            <w:vAlign w:val="bottom"/>
          </w:tcPr>
          <w:p>
            <w:pPr>
              <w:spacing w:after="0"/>
              <w:rPr>
                <w:sz w:val="1"/>
                <w:szCs w:val="1"/>
                <w:color w:val="auto"/>
              </w:rPr>
            </w:pPr>
          </w:p>
        </w:tc>
      </w:tr>
      <w:tr>
        <w:trPr>
          <w:trHeight w:val="22"/>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3"/>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future minimum commitments, net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Letters of Credit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two irrevocable letters of credit outstanding related to non-cancelable facilities leases in the amounts of $3.5 million and $1.5 million, with annual automatic renewal and final expiration dates in July 2028 and April 2036, respectively. As of December 31, 2023 the Company had two irrevocable letters of credit outstanding related to noncancelable facilities leases in the amounts of $0.5 million and $3.5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Stockholders’ Equity and Equity Incentive Plans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board of directors has authorized 1,000,000,000 shares of Class A common stock, $0.0001 par value per share, and 1,000,000,000 shares of Class B common stock, $0.0001 par value per share. The rights of the holders of Class A common stock and Class B common stock are identical, except with respect to voting and conversion rights. Holders of Class A common stock are entitled to one vote and holders of Class B common stock are entitled to ten votes and is convertible into one share of Class A common stock. Each share of Class B is convertible anytime at the option of the holder into one share of Class A common stock. Once converted or transferred and converted into Class A common stock, the Class B common stock will not be reissued.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February 2023, the Company’s board of directors authorized the Company to repurchase up to $75 million of its Class A common stock (“2023 Repurchase Program”). In February 2024, the Company’s board of directors authorized an increase to the 2023 Repurchase Program for the repurchase of shares of its Class A common stock from $75.0 million to $175.0 million through December 31, 2025 (the “2024 Repurchase Program”).</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Shares are repurchased in a manner deemed in the best interest of the Company and its stockholders, dependent upon business, economic and market conditions, corporate and regulatory requirements, prevailing stock prices and other considerations. Repurchases are executed from time to time, subject to general business and market conditions and other investment opportunities, through open market purchases or privately negotiated transactions, in accordance with Rule 10b-18 and/or Rule 10b5-1 of the Exchange Act. The 2024 Repurchase Program is scheduled to terminate on December 31, 2025.</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repurchased 4,277,965 aggregate shares of Class A common stock for $75.3 million. The Company recorded an additional $0.4 million related to the 1% excise tax on net share repurchases as a result of the Inflation Reduction Act of 2022 (“IRA”). As of December 31, 2024, $40.4 million remains available for repurchases.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December 31, 2024, the Company has reserved 5,489,950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Stock options granted under the Company’s stock incentive plans generally vest over four years, subject to the holder’s continued service through the vesting date and expire no later than ten years from the date of grant.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stock option activity and related information under the Company’s equity incentive plans (shares and aggregate intrinsic value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30"/>
        </w:trPr>
        <w:tc>
          <w:tcPr>
            <w:tcW w:w="50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Shares Underlying</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Outstanding Options</w:t>
            </w:r>
          </w:p>
        </w:tc>
        <w:tc>
          <w:tcPr>
            <w:tcW w:w="34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Term (Years)</w:t>
            </w:r>
          </w:p>
        </w:tc>
        <w:tc>
          <w:tcPr>
            <w:tcW w:w="100" w:type="dxa"/>
            <w:vAlign w:val="bottom"/>
          </w:tcPr>
          <w:p>
            <w:pPr>
              <w:spacing w:after="0"/>
              <w:rPr>
                <w:sz w:val="12"/>
                <w:szCs w:val="12"/>
                <w:color w:val="auto"/>
              </w:rPr>
            </w:pP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r>
      <w:tr>
        <w:trPr>
          <w:trHeight w:val="30"/>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 December 31,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67,418</w:t>
            </w:r>
          </w:p>
        </w:tc>
      </w:tr>
      <w:tr>
        <w:trPr>
          <w:trHeight w:val="19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9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 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 December 31, 2024</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50,372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exercisable —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50,343</w:t>
            </w:r>
          </w:p>
        </w:tc>
      </w:tr>
      <w:tr>
        <w:trPr>
          <w:trHeight w:val="22"/>
        </w:trPr>
        <w:tc>
          <w:tcPr>
            <w:tcW w:w="50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aggregate intrinsic value represents the difference between the exercise price of the options and the fair market value of the Company’s common stock on the date of exercise. The intrinsic value of options exercised was $9.9 million, $7.5 million and $6.4 million for the years ended December 31, 2024, 2023 and 2022, respectively.</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unrecognized stock-based compensation of $17.1 million related to unvested stock options will be recognized on a straight-line basis over a weighted average period of 2.49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stock options granted under the Company’s equity incentive plans was estimated using the following assumptions: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8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market value of common stock</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$15.38-$16.34</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$12.56-$16.94</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$18.63-$31.79</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5.0-7.0</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5.0-7.0</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5.0-7.0</w:t>
            </w:r>
          </w:p>
        </w:tc>
      </w:tr>
      <w:tr>
        <w:trPr>
          <w:trHeight w:val="22"/>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4.0%-4.2%</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3.5%-4.0%</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1.8%-3.4%</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55%-58%</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55%-59%</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54%-57%</w:t>
            </w:r>
          </w:p>
        </w:tc>
      </w:tr>
      <w:tr>
        <w:trPr>
          <w:trHeight w:val="22"/>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rate</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options granted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$8.58</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$13.70</w:t>
            </w: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assumptions and estimates were determined as follows:</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Fair Value of Common Stock - </w:t>
      </w:r>
      <w:r>
        <w:rPr>
          <w:rFonts w:ascii="Times New Roman" w:cs="Times New Roman" w:eastAsia="Times New Roman" w:hAnsi="Times New Roman"/>
          <w:sz w:val="14"/>
          <w:szCs w:val="14"/>
          <w:color w:val="auto"/>
        </w:rPr>
        <w:t>The fair value of each share of underlying common stock was based on the closing price of the Company’s Class A common stock as reported on the date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w:t>
      </w:r>
    </w:p>
    <w:p>
      <w:pPr>
        <w:spacing w:after="0" w:line="35"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 The expected term represents the period that the Company’s stock-based awards are expected to be outstanding. For option grants that are considered to be “plain vanilla,”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determines the expected term using the simplified method.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spacing w:after="0" w:line="22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is based on the U.S. Treasury yield curve in effect at the time of grant for zero-coupon U.S. Treasury notes with maturities approximately equal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option’s expected term.</w:t>
      </w:r>
    </w:p>
    <w:p>
      <w:pPr>
        <w:spacing w:after="0" w:line="3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 Since the Company has a short trading history of its common stock, the expected volatility is derived from the average historical stock volatilities of several unrelated 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within the Company’s industry that the Company considers to be comparable to its business over a period equivalent to the expected term of the stock option grants.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Dividend Rate </w:t>
      </w:r>
      <w:r>
        <w:rPr>
          <w:rFonts w:ascii="Times New Roman" w:cs="Times New Roman" w:eastAsia="Times New Roman" w:hAnsi="Times New Roman"/>
          <w:sz w:val="14"/>
          <w:szCs w:val="14"/>
          <w:color w:val="auto"/>
        </w:rPr>
        <w:t>- The expected dividend is assumed to be zero as the Company has never paid dividends and has no current plans to do so.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RSU awards generally vest over four years, subject to the holder’s continued service through the vesting date.</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RSU activity and related information under the Company’s 2020 Plan: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30"/>
        </w:trPr>
        <w:tc>
          <w:tcPr>
            <w:tcW w:w="666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Shares (in</w:t>
            </w:r>
          </w:p>
        </w:tc>
        <w:tc>
          <w:tcPr>
            <w:tcW w:w="100" w:type="dxa"/>
            <w:vAlign w:val="bottom"/>
          </w:tcPr>
          <w:p>
            <w:pPr>
              <w:spacing w:after="0"/>
              <w:rPr>
                <w:sz w:val="11"/>
                <w:szCs w:val="1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Weighted-Average Grant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Aggregate Intrinsic Value (in</w:t>
            </w:r>
          </w:p>
        </w:tc>
      </w:tr>
      <w:tr>
        <w:trPr>
          <w:trHeight w:val="149"/>
        </w:trPr>
        <w:tc>
          <w:tcPr>
            <w:tcW w:w="6660" w:type="dxa"/>
            <w:vAlign w:val="bottom"/>
          </w:tcPr>
          <w:p>
            <w:pPr>
              <w:spacing w:after="0"/>
              <w:rPr>
                <w:sz w:val="12"/>
                <w:szCs w:val="1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Date Fair Value per Share</w:t>
            </w:r>
          </w:p>
        </w:tc>
        <w:tc>
          <w:tcPr>
            <w:tcW w:w="280" w:type="dxa"/>
            <w:vAlign w:val="bottom"/>
          </w:tcPr>
          <w:p>
            <w:pPr>
              <w:spacing w:after="0"/>
              <w:rPr>
                <w:sz w:val="12"/>
                <w:szCs w:val="12"/>
                <w:color w:val="auto"/>
              </w:rPr>
            </w:pP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thousands)</w:t>
            </w:r>
          </w:p>
        </w:tc>
      </w:tr>
      <w:tr>
        <w:trPr>
          <w:trHeight w:val="30"/>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47,859</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Canceled/Forfeited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unrecognized stock-based compensation of $57.0 million related to unvested RSUs will be recognized on a straight-line basis over a weighted average period of 2.50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Employee Stock Purchase Plan</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 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December 31, 2024, the Company has reserved 1,779,811 shares of its common stock for issuance under the ESPP.</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$0.1 million has been withheld on behalf of employees for a future purchase under the ESPP due to the timing of payroll deductions and is included in accrued liabilities. For the twelve months ended December 31, 2024, 169,773 shares of Class A common stock have been purchased under the ESPP.</w:t>
      </w:r>
    </w:p>
    <w:p>
      <w:pPr>
        <w:spacing w:after="0" w:line="39"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As of December 31, 2024, unrecognized stock-based compensation expense related to the ESPP was $0.6 million, which is expected to be recognized over a weighted-average period of 0.52 years.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purchase right granted the under the Company’s 2020 Employee Stock Purchase Plan was estimated using the following assumptions: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8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0.5-1.0</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0.5-1.0</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0.5-1.0</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4.3%-5.4%</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5.4%-5.1%</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1.6%-2.2%</w:t>
            </w:r>
          </w:p>
        </w:tc>
      </w:tr>
      <w:tr>
        <w:trPr>
          <w:trHeight w:val="22"/>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53%-65%</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48%-59%</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83%-79%</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rate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3"/>
              </w:rPr>
              <w: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 The expected term of the ESPP represents the period of time that purchase rights are expected to be outstanding.</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Risk-Free Interest Rate - </w:t>
      </w:r>
      <w:r>
        <w:rPr>
          <w:rFonts w:ascii="Times New Roman" w:cs="Times New Roman" w:eastAsia="Times New Roman" w:hAnsi="Times New Roman"/>
          <w:sz w:val="14"/>
          <w:szCs w:val="14"/>
          <w:color w:val="auto"/>
        </w:rPr>
        <w:t>The risk-free interest rate for the expected term of the awards was based on the U.S. Treasury yield curve in effect at the time of the grant.</w:t>
      </w:r>
    </w:p>
    <w:p>
      <w:pPr>
        <w:spacing w:after="0" w:line="9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 The expected volatility is based on the historical volatility of the Company’s Class A common stock over a period equivalent to the expected term of the ESPP 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w:t>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Dividend rate </w:t>
      </w:r>
      <w:r>
        <w:rPr>
          <w:rFonts w:ascii="Times New Roman" w:cs="Times New Roman" w:eastAsia="Times New Roman" w:hAnsi="Times New Roman"/>
          <w:sz w:val="14"/>
          <w:szCs w:val="14"/>
          <w:color w:val="auto"/>
        </w:rPr>
        <w:t>- The expected dividend is assumed to be zero as the Company has never paid dividends and has no current plans to do so.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stock-based compensation expense recognized in the consolidated statements of operations was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420" w:type="dxa"/>
            <w:vAlign w:val="bottom"/>
          </w:tcPr>
          <w:p>
            <w:pPr>
              <w:spacing w:after="0"/>
              <w:rPr>
                <w:sz w:val="12"/>
                <w:szCs w:val="12"/>
                <w:color w:val="auto"/>
              </w:rPr>
            </w:pPr>
          </w:p>
        </w:tc>
        <w:tc>
          <w:tcPr>
            <w:tcW w:w="3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1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9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0" w:type="dxa"/>
            <w:vAlign w:val="bottom"/>
          </w:tcPr>
          <w:p>
            <w:pPr>
              <w:spacing w:after="0"/>
              <w:rPr>
                <w:sz w:val="1"/>
                <w:szCs w:val="1"/>
                <w:color w:val="auto"/>
              </w:rPr>
            </w:pPr>
          </w:p>
        </w:tc>
      </w:tr>
      <w:tr>
        <w:trPr>
          <w:trHeight w:val="19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w:t>
            </w: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20,646</w:t>
            </w:r>
          </w:p>
        </w:tc>
        <w:tc>
          <w:tcPr>
            <w:tcW w:w="0" w:type="dxa"/>
            <w:vAlign w:val="bottom"/>
          </w:tcPr>
          <w:p>
            <w:pPr>
              <w:spacing w:after="0"/>
              <w:rPr>
                <w:sz w:val="1"/>
                <w:szCs w:val="1"/>
                <w:color w:val="auto"/>
              </w:rPr>
            </w:pPr>
          </w:p>
        </w:tc>
      </w:tr>
      <w:tr>
        <w:trPr>
          <w:trHeight w:val="19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benefit from stock-based compensation</w:t>
            </w: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 net of tax effect</w:t>
            </w:r>
          </w:p>
        </w:tc>
        <w:tc>
          <w:tcPr>
            <w:tcW w:w="3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873"/>
              <w:spacing w:after="0"/>
              <w:rPr>
                <w:sz w:val="20"/>
                <w:szCs w:val="20"/>
                <w:color w:val="auto"/>
              </w:rPr>
            </w:pPr>
            <w:r>
              <w:rPr>
                <w:rFonts w:ascii="Times New Roman" w:cs="Times New Roman" w:eastAsia="Times New Roman" w:hAnsi="Times New Roman"/>
                <w:sz w:val="14"/>
                <w:szCs w:val="14"/>
                <w:color w:val="auto"/>
              </w:rPr>
              <w:t>83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Net Income Per Share Attributable to Common Stockholders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two classes of common stock, Class A and Class B. 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the Company’s basic and diluted net income per share (in thousands, except share and per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60" w:type="dxa"/>
            <w:vAlign w:val="bottom"/>
            <w:gridSpan w:val="6"/>
          </w:tcPr>
          <w:p>
            <w:pPr>
              <w:jc w:val="center"/>
              <w:ind w:left="111"/>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2"/>
        </w:trPr>
        <w:tc>
          <w:tcPr>
            <w:tcW w:w="6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attributable to common stockholders – basic</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4"/>
        </w:trPr>
        <w:tc>
          <w:tcPr>
            <w:tcW w:w="6660" w:type="dxa"/>
            <w:vAlign w:val="bottom"/>
            <w:tcBorders>
              <w:bottom w:val="single" w:sz="8" w:color="CCEEFF"/>
            </w:tcBorders>
            <w:shd w:val="clear" w:color="auto" w:fill="CCEEFF"/>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9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1"/>
        </w:trPr>
        <w:tc>
          <w:tcPr>
            <w:tcW w:w="6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52,278</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r>
      <w:tr>
        <w:trPr>
          <w:trHeight w:val="191"/>
        </w:trPr>
        <w:tc>
          <w:tcPr>
            <w:tcW w:w="6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Employee stock purchase plan shares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3"/>
        </w:trPr>
        <w:tc>
          <w:tcPr>
            <w:tcW w:w="6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54,294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56,027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56,908</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0"/>
        </w:trPr>
        <w:tc>
          <w:tcPr>
            <w:tcW w:w="6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income per share attributable to common stockholders – diluted</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6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3,354</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2,167</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Unvested restricted stock units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ESPP</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56"/>
        </w:trPr>
        <w:tc>
          <w:tcPr>
            <w:tcW w:w="666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Total common stock equivalents excluded from net income per share attributable to common stockholders –</w:t>
            </w:r>
          </w:p>
        </w:tc>
        <w:tc>
          <w:tcPr>
            <w:tcW w:w="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3,454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3,310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0" w:type="dxa"/>
            <w:vAlign w:val="bottom"/>
          </w:tcPr>
          <w:p>
            <w:pPr>
              <w:spacing w:after="0"/>
              <w:rPr>
                <w:sz w:val="1"/>
                <w:szCs w:val="1"/>
                <w:color w:val="auto"/>
              </w:rPr>
            </w:pPr>
          </w:p>
        </w:tc>
      </w:tr>
      <w:tr>
        <w:trPr>
          <w:trHeight w:val="184"/>
        </w:trPr>
        <w:tc>
          <w:tcPr>
            <w:tcW w:w="6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diluted</w:t>
            </w:r>
          </w:p>
        </w:tc>
        <w:tc>
          <w:tcPr>
            <w:tcW w:w="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 Income Taxes</w:t>
            </w: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6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domestic and foreign components of income before provision for income taxes were as follows (in thousands):</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66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6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96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9,737</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5,371</w:t>
            </w: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32,945</w:t>
            </w:r>
          </w:p>
        </w:tc>
        <w:tc>
          <w:tcPr>
            <w:tcW w:w="0" w:type="dxa"/>
            <w:vAlign w:val="bottom"/>
          </w:tcPr>
          <w:p>
            <w:pPr>
              <w:spacing w:after="0"/>
              <w:rPr>
                <w:sz w:val="1"/>
                <w:szCs w:val="1"/>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0" w:type="dxa"/>
            <w:vAlign w:val="bottom"/>
          </w:tcPr>
          <w:p>
            <w:pPr>
              <w:spacing w:after="0"/>
              <w:rPr>
                <w:sz w:val="1"/>
                <w:szCs w:val="1"/>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17,774</w:t>
            </w:r>
          </w:p>
        </w:tc>
        <w:tc>
          <w:tcPr>
            <w:tcW w:w="2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provision for income taxes consisted of the following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0"/>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1"/>
        </w:trPr>
        <w:tc>
          <w:tcPr>
            <w:tcW w:w="6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provisions for income taxes:</w:t>
            </w:r>
          </w:p>
        </w:tc>
        <w:tc>
          <w:tcPr>
            <w:tcW w:w="2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10,561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11,059</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11,379</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22"/>
        </w:trPr>
        <w:tc>
          <w:tcPr>
            <w:tcW w:w="6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6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14,788</w:t>
            </w:r>
          </w:p>
        </w:tc>
      </w:tr>
      <w:tr>
        <w:trPr>
          <w:trHeight w:val="192"/>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6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(8,731)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(1,391)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91"/>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2"/>
        </w:trPr>
        <w:tc>
          <w:tcPr>
            <w:tcW w:w="6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6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deferred tax benefit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(10,984)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(13,408)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w:t>
            </w:r>
          </w:p>
        </w:tc>
      </w:tr>
      <w:tr>
        <w:trPr>
          <w:trHeight w:val="20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8,762</w:t>
            </w: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54"/>
        </w:trPr>
        <w:tc>
          <w:tcPr>
            <w:tcW w:w="9800" w:type="dxa"/>
            <w:vAlign w:val="bottom"/>
            <w:gridSpan w:val="11"/>
          </w:tcPr>
          <w:p>
            <w:pPr>
              <w:ind w:left="260"/>
              <w:spacing w:after="0"/>
              <w:rPr>
                <w:sz w:val="20"/>
                <w:szCs w:val="20"/>
                <w:color w:val="auto"/>
              </w:rPr>
            </w:pPr>
            <w:r>
              <w:rPr>
                <w:rFonts w:ascii="Times New Roman" w:cs="Times New Roman" w:eastAsia="Times New Roman" w:hAnsi="Times New Roman"/>
                <w:sz w:val="14"/>
                <w:szCs w:val="14"/>
                <w:color w:val="auto"/>
              </w:rPr>
              <w:t>The following table presents a reconciliation of the U.S. federal statutory income tax rate to the Company’s effective tax rate for the periods presented: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1"/>
        </w:trPr>
        <w:tc>
          <w:tcPr>
            <w:tcW w:w="6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income tax rate</w:t>
            </w: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after-tax rate</w:t>
            </w:r>
          </w:p>
        </w:tc>
        <w:tc>
          <w:tcPr>
            <w:tcW w:w="260" w:type="dxa"/>
            <w:vAlign w:val="bottom"/>
          </w:tcPr>
          <w:p>
            <w:pPr>
              <w:spacing w:after="0"/>
              <w:rPr>
                <w:sz w:val="16"/>
                <w:szCs w:val="16"/>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3.45</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19.25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2.67</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credit</w:t>
            </w:r>
          </w:p>
        </w:tc>
        <w:tc>
          <w:tcPr>
            <w:tcW w:w="26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(4.51)</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pricing reserve</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0.76</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260" w:type="dxa"/>
            <w:vAlign w:val="bottom"/>
          </w:tcPr>
          <w:p>
            <w:pPr>
              <w:spacing w:after="0"/>
              <w:rPr>
                <w:sz w:val="16"/>
                <w:szCs w:val="16"/>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(0.02)</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GILTI</w:t>
            </w: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3.30</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derived intangible income</w:t>
            </w:r>
          </w:p>
        </w:tc>
        <w:tc>
          <w:tcPr>
            <w:tcW w:w="26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(5.43)</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Section 162(m) limitation</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2.59</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Acquisition-related costs</w:t>
            </w:r>
          </w:p>
        </w:tc>
        <w:tc>
          <w:tcPr>
            <w:tcW w:w="260" w:type="dxa"/>
            <w:vAlign w:val="bottom"/>
          </w:tcPr>
          <w:p>
            <w:pPr>
              <w:spacing w:after="0"/>
              <w:rPr>
                <w:sz w:val="16"/>
                <w:szCs w:val="16"/>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(0.65)</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0.27</w:t>
            </w:r>
          </w:p>
        </w:tc>
      </w:tr>
      <w:tr>
        <w:trPr>
          <w:trHeight w:val="22"/>
        </w:trPr>
        <w:tc>
          <w:tcPr>
            <w:tcW w:w="6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carrying amounts of assets and liabilities for financial reporting purposes and the amounts used for income tax purposes.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and liabilities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Accruals and allowances</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credits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Intangibles assets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obligation</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R&amp;D capitalization</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15,419</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181"/>
        </w:trPr>
        <w:tc>
          <w:tcPr>
            <w:tcW w:w="8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47,860</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32,537</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Valuation allowance</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81"/>
        </w:trPr>
        <w:tc>
          <w:tcPr>
            <w:tcW w:w="8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45,742</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30,514</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equipment, and software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(9,273)</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r>
      <w:tr>
        <w:trPr>
          <w:trHeight w:val="22"/>
        </w:trPr>
        <w:tc>
          <w:tcPr>
            <w:tcW w:w="8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Acquired intangibles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(20,878)</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(16,634)</w:t>
            </w:r>
          </w:p>
        </w:tc>
      </w:tr>
      <w:tr>
        <w:trPr>
          <w:trHeight w:val="18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income tax asset (liabilities)</w:t>
            </w:r>
          </w:p>
        </w:tc>
        <w:tc>
          <w:tcPr>
            <w:tcW w:w="92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24,864</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13,880</w:t>
            </w:r>
          </w:p>
        </w:tc>
      </w:tr>
      <w:tr>
        <w:trPr>
          <w:trHeight w:val="22"/>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the Company had state research and development credit carryforwards of $3.8 million. The state credits can be carried forward indefinitely.</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Pursuant to Section 382 of the Internal Revenue Code of 1986, as amended (“Code”), the Company’s ability to utilize net operating loss carryforwards or other tax attributes, such as research tax credits, in any taxable year may be limited if the Company experiences an “ownership change.” A Section 382 “ownership change” generally occurs if one or more stockholders or groups of stockholders who own at least 5% of the Company’s stock increase their ownership by more than 50 percentage points over their lowest ownership percentage within a rolling three year period. Similar rules may apply under state tax laws. Net operating loss carryforwards and other tax attributes generated are currently not subject to limitation by Section 382, but subsequent changes in the Company’s stock ownership as well as other changes that may be outside of the Company’s control, could result in additional ownership changes under Section 382 of the Code.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Valuation Allowance</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Management has determined that there is sufficient positive evidence that a valuation allowance against deferred tax assets is not required as of December 31, 2024 and 2023, except for unrealized losses on equity investment and state research credit carryforwards, starting in 2021, for which realization is not deemed more likely than not given insufficient future capital gains to offset the investment’s worth and the Company expects to generate more credits in future than can be utilized against projected taxable income.</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not provided for U.S. deferred taxes on the cumulative earnings of non-U.S. affiliates that have been reinvested indefinitely. The Company will continue to maintain its policy of indefinite reinvestment to the extent that the repatriation of foreign earnings is restricted by local laws, accounting rules, substantial incremental costs associated with repatriating the foreign earnings, or other business requirements.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activity related to the unrecognized income tax benefits is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unrecognized income tax benefits — beginning balance</w:t>
            </w:r>
          </w:p>
        </w:tc>
        <w:tc>
          <w:tcPr>
            <w:tcW w:w="98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Increases related to tax positions taken during the current year</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Increases related to tax positions taken during the prior years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9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Decreases related to tax positions taken during the prior years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unrecognized income tax benefits — ending balance</w:t>
            </w:r>
          </w:p>
        </w:tc>
        <w:tc>
          <w:tcPr>
            <w:tcW w:w="98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recognizes interest and penalties, if any, related to uncertain tax positions in its income tax provision. As of December 31, 2024 and 2023, the Company had approximately $0.3 million and $0.2 million, respectively, of accrued interest related to uncertain tax positions.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$2.7 million of unrecognized income tax benefits would, if recognized, impact the effective tax rate in the period in which each of the benefits is recognized.</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files U.S., state and foreign income tax returns with varying statutes of limitations. The federal, state, and foreign returns statute of limitations remains open for tax years from 2015 and thereafter. There are currently no income tax audits involving any U.S. states or foreign tax jurisdictions.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Segment and Geographical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Operating segments are components of an enterprise for which separate financial information is available and is evaluated regularly by the Company’s chief operating decision maker in deciding how to allocate resources and assessing performance. The Company’s chief operating decision maker (“CODM”) is its Chief Executive Officer.</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primary measure of segment profit or loss is consolidated net income as presented below and is used by the CODM for purposes of allocating resources and evaluating financial performance. The Company has one business activity and there are no segment managers accountable for operations, operating results beyond revenue or gross profit, or plans for levels or components below the consolidated unit level. Accordingly, the Company has one single reporting segment.</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for the years ended December 31, 2024, 2023, and 2022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6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267,014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256,380</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Employee compensation</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126,456</w:t>
            </w:r>
          </w:p>
        </w:tc>
      </w:tr>
      <w:tr>
        <w:trPr>
          <w:trHeight w:val="191"/>
        </w:trPr>
        <w:tc>
          <w:tcPr>
            <w:tcW w:w="6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34,249</w:t>
            </w: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2</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55,155</w:t>
            </w:r>
          </w:p>
        </w:tc>
      </w:tr>
      <w:tr>
        <w:trPr>
          <w:trHeight w:val="181"/>
        </w:trPr>
        <w:tc>
          <w:tcPr>
            <w:tcW w:w="6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40,520</w:t>
            </w: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6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1"/>
        </w:trPr>
        <w:tc>
          <w:tcPr>
            <w:tcW w:w="6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r>
      <w:tr>
        <w:trPr>
          <w:trHeight w:val="191"/>
        </w:trPr>
        <w:tc>
          <w:tcPr>
            <w:tcW w:w="6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loss on equity investments</w:t>
            </w:r>
          </w:p>
        </w:tc>
        <w:tc>
          <w:tcPr>
            <w:tcW w:w="9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1"/>
        </w:trPr>
        <w:tc>
          <w:tcPr>
            <w:tcW w:w="6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37,467</w:t>
            </w: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income</w:t>
            </w:r>
          </w:p>
        </w:tc>
        <w:tc>
          <w:tcPr>
            <w:tcW w:w="90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28,705</w:t>
            </w: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_______________</w:t>
      </w:r>
    </w:p>
    <w:p>
      <w:pPr>
        <w:spacing w:after="0" w:line="50"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 compensation includes employee payroll, share-based compensation, bonus, and employee benefits for medical care, retirement, insurances, and other related expenses.</w:t>
      </w:r>
    </w:p>
    <w:p>
      <w:pPr>
        <w:spacing w:after="0" w:line="15"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Other segment items includes costs and expenses from operation of the Company’s data centers, professional services, facilities, marketing, and other related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total revenue by geographic area based on the publisher’s billing address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4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3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28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158,110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156,067</w:t>
            </w: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3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71,869</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33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24,844</w:t>
            </w: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 of the world</w:t>
            </w:r>
          </w:p>
        </w:tc>
        <w:tc>
          <w:tcPr>
            <w:tcW w:w="3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873"/>
              <w:spacing w:after="0"/>
              <w:rPr>
                <w:sz w:val="20"/>
                <w:szCs w:val="20"/>
                <w:color w:val="auto"/>
              </w:rPr>
            </w:pPr>
            <w:r>
              <w:rPr>
                <w:rFonts w:ascii="Times New Roman" w:cs="Times New Roman" w:eastAsia="Times New Roman" w:hAnsi="Times New Roman"/>
                <w:sz w:val="14"/>
                <w:szCs w:val="14"/>
                <w:color w:val="auto"/>
              </w:rPr>
              <w:t>88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long-lived assets by geographic area, which includes property and equipment, net, and operating lease right-of-use assets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88,998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68,299</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 of the world</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13,532</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102,924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81,831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401(k) Plan</w:t>
      </w:r>
    </w:p>
    <w:p>
      <w:pPr>
        <w:spacing w:after="0" w:line="96"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$1.7 million and $1.3 million matching contribution to the 401(k) Plan for the year ended December 31, 2024 and 2023,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Exchange Act). Our management conducted an assessment of the effectiveness our internal control over financial reporting based on criteria established in Internal Control – Integrated Framework (2013) issued by the Committee of Sponsoring Organizations of the Treadway Commission. Our management has concluded that our internal control over financial reporting was effective as of December 31, 2024 to provide reasonable assurance regarding the reliability of financial reporting and the preparation of financial statements in accordance with U.S. GAAP.</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2024 has been audited by Deloitte and Touche, LLP, an independent registered public accounting firm, as stated in their report, which is included in Item 8 of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defined in Rules 13a-15(d) and 15d-15(d) under the Exchange Act) that occurred during the quarter ended December 31, 2024 that has materially affected, or is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 and Procedures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is not intended to provide absolute assurance that a misstatement of our consolidated financial statements would be prevented or detected.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 Trading Plans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quarter ended December 31, 2024, the following trading plans were adopted or terminated:</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Trading Arrangement</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80"/>
              <w:spacing w:after="0" w:line="156" w:lineRule="exact"/>
              <w:rPr>
                <w:sz w:val="20"/>
                <w:szCs w:val="20"/>
                <w:color w:val="auto"/>
              </w:rPr>
            </w:pPr>
            <w:r>
              <w:rPr>
                <w:rFonts w:ascii="Times New Roman" w:cs="Times New Roman" w:eastAsia="Times New Roman" w:hAnsi="Times New Roman"/>
                <w:sz w:val="14"/>
                <w:szCs w:val="14"/>
                <w:color w:val="auto"/>
              </w:rPr>
              <w:t>Total Shares to be</w:t>
            </w: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Name</w:t>
            </w:r>
          </w:p>
        </w:tc>
        <w:tc>
          <w:tcPr>
            <w:tcW w:w="14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Action</w:t>
            </w:r>
          </w:p>
        </w:tc>
        <w:tc>
          <w:tcPr>
            <w:tcW w:w="14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Date</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Rule 10b5-1*</w:t>
            </w:r>
          </w:p>
        </w:tc>
        <w:tc>
          <w:tcPr>
            <w:tcW w:w="1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Non-Rule 10b5-1**</w:t>
            </w:r>
          </w:p>
        </w:tc>
        <w:tc>
          <w:tcPr>
            <w:tcW w:w="1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Sold</w:t>
            </w:r>
          </w:p>
        </w:tc>
        <w:tc>
          <w:tcPr>
            <w:tcW w:w="134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Expiration Date</w:t>
            </w:r>
          </w:p>
        </w:tc>
        <w:tc>
          <w:tcPr>
            <w:tcW w:w="0" w:type="dxa"/>
            <w:vAlign w:val="bottom"/>
          </w:tcPr>
          <w:p>
            <w:pPr>
              <w:spacing w:after="0"/>
              <w:rPr>
                <w:sz w:val="1"/>
                <w:szCs w:val="1"/>
                <w:color w:val="auto"/>
              </w:rPr>
            </w:pPr>
          </w:p>
        </w:tc>
      </w:tr>
      <w:tr>
        <w:trPr>
          <w:trHeight w:val="167"/>
        </w:trPr>
        <w:tc>
          <w:tcPr>
            <w:tcW w:w="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Amar Goel </w:t>
            </w:r>
            <w:r>
              <w:rPr>
                <w:rFonts w:ascii="Times New Roman" w:cs="Times New Roman" w:eastAsia="Times New Roman" w:hAnsi="Times New Roman"/>
                <w:sz w:val="18"/>
                <w:szCs w:val="18"/>
                <w:color w:val="auto"/>
                <w:vertAlign w:val="superscript"/>
              </w:rPr>
              <w:t>(2)</w:t>
            </w:r>
          </w:p>
        </w:tc>
        <w:tc>
          <w:tcPr>
            <w:tcW w:w="80" w:type="dxa"/>
            <w:vAlign w:val="bottom"/>
            <w:vMerge w:val="restart"/>
          </w:tcPr>
          <w:p>
            <w:pPr>
              <w:spacing w:after="0"/>
              <w:rPr>
                <w:sz w:val="14"/>
                <w:szCs w:val="14"/>
                <w:color w:val="auto"/>
              </w:rPr>
            </w:pPr>
          </w:p>
        </w:tc>
        <w:tc>
          <w:tcPr>
            <w:tcW w:w="1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Chief Innovation</w:t>
            </w: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1"/>
                <w:vertAlign w:val="subscript"/>
              </w:rPr>
              <w:t>X</w:t>
            </w:r>
            <w:r>
              <w:rPr>
                <w:rFonts w:ascii="Times New Roman" w:cs="Times New Roman" w:eastAsia="Times New Roman" w:hAnsi="Times New Roman"/>
                <w:sz w:val="9"/>
                <w:szCs w:val="9"/>
                <w:color w:val="auto"/>
                <w:w w:val="91"/>
              </w:rPr>
              <w:t xml:space="preserve"> (1)</w:t>
            </w:r>
          </w:p>
        </w:tc>
        <w:tc>
          <w:tcPr>
            <w:tcW w:w="100" w:type="dxa"/>
            <w:vAlign w:val="bottom"/>
            <w:vMerge w:val="restart"/>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9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Adopted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11/29/2024</w:t>
            </w: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211,765</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1/30/2026</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Intended to satisfy the affirmative defense of Rule 10b5-1(c).</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Not intended to satisfy the affirmative defense of Rule 10b5-1(c).</w:t>
      </w:r>
    </w:p>
    <w:p>
      <w:pPr>
        <w:spacing w:after="0" w:line="84" w:lineRule="exact"/>
        <w:rPr>
          <w:sz w:val="20"/>
          <w:szCs w:val="20"/>
          <w:color w:val="auto"/>
        </w:rPr>
      </w:pPr>
    </w:p>
    <w:p>
      <w:pPr>
        <w:jc w:val="both"/>
        <w:ind w:left="520" w:hanging="260"/>
        <w:spacing w:after="0" w:line="258" w:lineRule="auto"/>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w:t>
      </w:r>
    </w:p>
    <w:p>
      <w:pPr>
        <w:spacing w:after="0" w:line="57" w:lineRule="exact"/>
        <w:rPr>
          <w:rFonts w:ascii="Times New Roman" w:cs="Times New Roman" w:eastAsia="Times New Roman" w:hAnsi="Times New Roman"/>
          <w:sz w:val="13"/>
          <w:szCs w:val="13"/>
          <w:color w:val="auto"/>
        </w:rPr>
      </w:pPr>
    </w:p>
    <w:p>
      <w:pPr>
        <w:jc w:val="both"/>
        <w:ind w:left="520" w:hanging="260"/>
        <w:spacing w:after="0" w:line="259" w:lineRule="auto"/>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the holder’s RSUs without excluding the shares that will be sold to satisfy the tax withholding obligations in addition to shares held in Trust accounts.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adopted a code of business conduct and ethics that applies to all of our employees, including our principal executive officer, principal financial officer and principal accounting officer, and our board of directors. A copy of this code, “Code of Business Conduct and Ethics,” is available on our website at https://investors.pubmatic.com under the section titled “Governance.” Any amendments or waivers of our Code of Business Conduct and Ethics pertaining to one of our executive officers or a member of our board of directors will be disclosed on the website address and location specified above.</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 other dispositions of our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other information required by this item will be included in the Proxy Statement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the Proxy Statement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the Proxy Statement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the Proxy Statement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documents are filed as a part of this Annual Report on Form 10-K:</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1) Financial Statements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(2) Financial Statement Schedules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All schedules have been omitted because the required information is not present or not present in amounts sufficient to require submission of the schedules, or because the information required is included in Item 8, entitled “Consolidated Financial Statements and Supplementary Data.”</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(3) Exhibits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exhibits required to be filed as part of this report are: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10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4900" w:type="dxa"/>
            <w:vAlign w:val="bottom"/>
            <w:gridSpan w:val="19"/>
          </w:tcPr>
          <w:p>
            <w:pPr>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 Herewith</w:t>
            </w:r>
          </w:p>
        </w:tc>
        <w:tc>
          <w:tcPr>
            <w:tcW w:w="0" w:type="dxa"/>
            <w:vAlign w:val="bottom"/>
          </w:tcPr>
          <w:p>
            <w:pPr>
              <w:spacing w:after="0"/>
              <w:rPr>
                <w:sz w:val="1"/>
                <w:szCs w:val="1"/>
                <w:color w:val="auto"/>
              </w:rPr>
            </w:pPr>
          </w:p>
        </w:tc>
      </w:tr>
      <w:tr>
        <w:trPr>
          <w:trHeight w:val="30"/>
        </w:trPr>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gridSpan w:val="19"/>
          </w:tcPr>
          <w:p>
            <w:pPr>
              <w:spacing w:after="0"/>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Agreement and Plan of Merger, dated as of September 14, 2022, by and among the</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September 14, 2022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3"/>
          </w:tcPr>
          <w:p>
            <w:pPr>
              <w:spacing w:after="0" w:line="139"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Registrant, Marlin Acquisition Sub, Inc., and ConsultMates, Inc.</w:t>
              </w:r>
            </w:hyperlink>
          </w:p>
        </w:tc>
        <w:tc>
          <w:tcPr>
            <w:tcW w:w="960" w:type="dxa"/>
            <w:vAlign w:val="bottom"/>
            <w:tcBorders>
              <w:top w:val="single" w:sz="8" w:color="0000FF"/>
            </w:tcBorders>
            <w:gridSpan w:val="2"/>
          </w:tcPr>
          <w:p>
            <w:pPr>
              <w:spacing w:after="0"/>
              <w:rPr>
                <w:sz w:val="12"/>
                <w:szCs w:val="12"/>
                <w:color w:val="auto"/>
              </w:rPr>
            </w:pPr>
          </w:p>
        </w:tc>
        <w:tc>
          <w:tcPr>
            <w:tcW w:w="460" w:type="dxa"/>
            <w:vAlign w:val="bottom"/>
            <w:gridSpan w:val="4"/>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rPr>
              <w:t>Restated Certificate of Incorporation.</w:t>
            </w:r>
          </w:p>
        </w:tc>
        <w:tc>
          <w:tcPr>
            <w:tcW w:w="2880" w:type="dxa"/>
            <w:vAlign w:val="bottom"/>
            <w:gridSpan w:val="13"/>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Borders>
              <w:bottom w:val="single" w:sz="8" w:color="0000FF"/>
            </w:tcBorders>
            <w:gridSpan w:val="4"/>
          </w:tcPr>
          <w:p>
            <w:pPr>
              <w:spacing w:after="0"/>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Amended and Restated Bylaws.</w:t>
              </w:r>
            </w:hyperlink>
          </w:p>
        </w:tc>
        <w:tc>
          <w:tcPr>
            <w:tcW w:w="3180" w:type="dxa"/>
            <w:vAlign w:val="bottom"/>
            <w:gridSpan w:val="15"/>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February 28, 2023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Form of Class A Common Stock Certificate.</w:t>
              </w:r>
            </w:hyperlink>
          </w:p>
        </w:tc>
        <w:tc>
          <w:tcPr>
            <w:tcW w:w="2500" w:type="dxa"/>
            <w:vAlign w:val="bottom"/>
            <w:gridSpan w:val="9"/>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Sixth Amended and Restated Investors’ Rights Agreement, dated October 1, 2020, by</w:t>
              </w:r>
            </w:hyperlink>
          </w:p>
        </w:tc>
        <w:tc>
          <w:tcPr>
            <w:tcW w:w="280" w:type="dxa"/>
            <w:vAlign w:val="bottom"/>
            <w:gridSpan w:val="3"/>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bottom w:val="single" w:sz="8" w:color="0000FF"/>
            </w:tcBorders>
            <w:gridSpan w:val="12"/>
          </w:tcPr>
          <w:p>
            <w:pPr>
              <w:spacing w:after="0" w:line="139"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and among the Registrant and certain of its stockholders.</w:t>
              </w:r>
            </w:hyperlink>
          </w:p>
        </w:tc>
        <w:tc>
          <w:tcPr>
            <w:tcW w:w="1840" w:type="dxa"/>
            <w:vAlign w:val="bottom"/>
            <w:gridSpan w:val="7"/>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9"/>
          </w:tcPr>
          <w:p>
            <w:pPr>
              <w:spacing w:after="0"/>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Description of the Registrant’s Securities</w:t>
              </w:r>
            </w:hyperlink>
            <w:r>
              <w:rPr>
                <w:rFonts w:ascii="Times New Roman" w:cs="Times New Roman" w:eastAsia="Times New Roman" w:hAnsi="Times New Roman"/>
                <w:sz w:val="13"/>
                <w:szCs w:val="13"/>
                <w:color w:val="000000"/>
              </w:rPr>
              <w:t>.</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26, 2021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of Indemnification Agreement.</w:t>
              </w:r>
            </w:hyperlink>
          </w:p>
        </w:tc>
        <w:tc>
          <w:tcPr>
            <w:tcW w:w="220" w:type="dxa"/>
            <w:vAlign w:val="bottom"/>
            <w:tcBorders>
              <w:top w:val="single" w:sz="8" w:color="0000FF"/>
            </w:tcBorders>
            <w:gridSpan w:val="4"/>
          </w:tcPr>
          <w:p>
            <w:pPr>
              <w:spacing w:after="0"/>
              <w:rPr>
                <w:sz w:val="19"/>
                <w:szCs w:val="19"/>
                <w:color w:val="auto"/>
              </w:rPr>
            </w:pPr>
          </w:p>
        </w:tc>
        <w:tc>
          <w:tcPr>
            <w:tcW w:w="2680" w:type="dxa"/>
            <w:vAlign w:val="bottom"/>
            <w:gridSpan w:val="10"/>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0000FF"/>
            </w:tcBorders>
          </w:tcPr>
          <w:p>
            <w:pPr>
              <w:spacing w:after="0"/>
              <w:rPr>
                <w:rFonts w:ascii="Times New Roman" w:cs="Times New Roman" w:eastAsia="Times New Roman" w:hAnsi="Times New Roman"/>
                <w:sz w:val="13"/>
                <w:szCs w:val="13"/>
                <w:color w:val="0000FF"/>
                <w:w w:val="99"/>
              </w:rPr>
            </w:pPr>
            <w:hyperlink r:id="rId124">
              <w:r>
                <w:rPr>
                  <w:rFonts w:ascii="Times New Roman" w:cs="Times New Roman" w:eastAsia="Times New Roman" w:hAnsi="Times New Roman"/>
                  <w:sz w:val="13"/>
                  <w:szCs w:val="13"/>
                  <w:color w:val="0000FF"/>
                  <w:w w:val="99"/>
                </w:rPr>
                <w:t>2006</w:t>
              </w:r>
            </w:hyperlink>
          </w:p>
        </w:tc>
        <w:tc>
          <w:tcPr>
            <w:tcW w:w="1740" w:type="dxa"/>
            <w:vAlign w:val="bottom"/>
            <w:tcBorders>
              <w:bottom w:val="single" w:sz="8" w:color="0000FF"/>
            </w:tcBorders>
            <w:gridSpan w:val="5"/>
          </w:tcPr>
          <w:p>
            <w:pPr>
              <w:ind w:left="20"/>
              <w:spacing w:after="0"/>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Stock Option Plan, as amended.</w:t>
              </w:r>
            </w:hyperlink>
          </w:p>
        </w:tc>
        <w:tc>
          <w:tcPr>
            <w:tcW w:w="2880" w:type="dxa"/>
            <w:vAlign w:val="bottom"/>
            <w:gridSpan w:val="13"/>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0000FF"/>
            </w:tcBorders>
          </w:tcPr>
          <w:p>
            <w:pPr>
              <w:spacing w:after="0"/>
              <w:rPr>
                <w:rFonts w:ascii="Times New Roman" w:cs="Times New Roman" w:eastAsia="Times New Roman" w:hAnsi="Times New Roman"/>
                <w:sz w:val="13"/>
                <w:szCs w:val="13"/>
                <w:color w:val="0000FF"/>
                <w:w w:val="99"/>
              </w:rPr>
            </w:pPr>
            <w:hyperlink r:id="rId125">
              <w:r>
                <w:rPr>
                  <w:rFonts w:ascii="Times New Roman" w:cs="Times New Roman" w:eastAsia="Times New Roman" w:hAnsi="Times New Roman"/>
                  <w:sz w:val="13"/>
                  <w:szCs w:val="13"/>
                  <w:color w:val="0000FF"/>
                  <w:w w:val="99"/>
                </w:rPr>
                <w:t>2017</w:t>
              </w:r>
            </w:hyperlink>
          </w:p>
        </w:tc>
        <w:tc>
          <w:tcPr>
            <w:tcW w:w="1920" w:type="dxa"/>
            <w:vAlign w:val="bottom"/>
            <w:tcBorders>
              <w:bottom w:val="single" w:sz="8" w:color="0000FF"/>
            </w:tcBorders>
            <w:gridSpan w:val="7"/>
          </w:tcPr>
          <w:p>
            <w:pPr>
              <w:ind w:left="20"/>
              <w:spacing w:after="0"/>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Equity Incentive Plan, as amended.</w:t>
              </w:r>
            </w:hyperlink>
          </w:p>
        </w:tc>
        <w:tc>
          <w:tcPr>
            <w:tcW w:w="2700" w:type="dxa"/>
            <w:vAlign w:val="bottom"/>
            <w:gridSpan w:val="11"/>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26">
              <w:r>
                <w:rPr>
                  <w:rFonts w:ascii="Times New Roman" w:cs="Times New Roman" w:eastAsia="Times New Roman" w:hAnsi="Times New Roman"/>
                  <w:sz w:val="13"/>
                  <w:szCs w:val="13"/>
                  <w:color w:val="0000FF"/>
                  <w:w w:val="99"/>
                </w:rPr>
                <w:t>2020</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Equity Incentive Plan</w:t>
              </w:r>
            </w:hyperlink>
            <w:r>
              <w:rPr>
                <w:rFonts w:ascii="Times New Roman" w:cs="Times New Roman" w:eastAsia="Times New Roman" w:hAnsi="Times New Roman"/>
                <w:sz w:val="13"/>
                <w:szCs w:val="13"/>
                <w:color w:val="000000"/>
              </w:rPr>
              <w:t>.</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27">
              <w:r>
                <w:rPr>
                  <w:rFonts w:ascii="Times New Roman" w:cs="Times New Roman" w:eastAsia="Times New Roman" w:hAnsi="Times New Roman"/>
                  <w:sz w:val="13"/>
                  <w:szCs w:val="13"/>
                  <w:color w:val="0000FF"/>
                  <w:w w:val="99"/>
                </w:rPr>
                <w:t>2019</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Executive Bonus Plan.</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28">
              <w:r>
                <w:rPr>
                  <w:rFonts w:ascii="Times New Roman" w:cs="Times New Roman" w:eastAsia="Times New Roman" w:hAnsi="Times New Roman"/>
                  <w:sz w:val="13"/>
                  <w:szCs w:val="13"/>
                  <w:color w:val="0000FF"/>
                  <w:w w:val="99"/>
                </w:rPr>
                <w:t>2020</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Executive Bonus Plan.</w:t>
              </w:r>
            </w:hyperlink>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26, 2021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10.7*†</w:t>
            </w: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29">
              <w:r>
                <w:rPr>
                  <w:rFonts w:ascii="Times New Roman" w:cs="Times New Roman" w:eastAsia="Times New Roman" w:hAnsi="Times New Roman"/>
                  <w:sz w:val="13"/>
                  <w:szCs w:val="13"/>
                  <w:color w:val="0000FF"/>
                  <w:w w:val="99"/>
                </w:rPr>
                <w:t>2021</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Executive Bonus Plan.</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30">
              <w:r>
                <w:rPr>
                  <w:rFonts w:ascii="Times New Roman" w:cs="Times New Roman" w:eastAsia="Times New Roman" w:hAnsi="Times New Roman"/>
                  <w:sz w:val="13"/>
                  <w:szCs w:val="13"/>
                  <w:color w:val="0000FF"/>
                  <w:w w:val="99"/>
                </w:rPr>
                <w:t>2022</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Executive Bonus Plan.</w:t>
              </w:r>
            </w:hyperlink>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1, 2022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31">
              <w:r>
                <w:rPr>
                  <w:rFonts w:ascii="Times New Roman" w:cs="Times New Roman" w:eastAsia="Times New Roman" w:hAnsi="Times New Roman"/>
                  <w:sz w:val="13"/>
                  <w:szCs w:val="13"/>
                  <w:color w:val="0000FF"/>
                  <w:w w:val="99"/>
                </w:rPr>
                <w:t>2023</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Executive Bonus Plan.</w:t>
              </w:r>
            </w:hyperlink>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February 28, 2023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rFonts w:ascii="Times New Roman" w:cs="Times New Roman" w:eastAsia="Times New Roman" w:hAnsi="Times New Roman"/>
                <w:sz w:val="13"/>
                <w:szCs w:val="13"/>
                <w:color w:val="0000FF"/>
                <w:w w:val="99"/>
              </w:rPr>
            </w:pPr>
            <w:hyperlink r:id="rId132">
              <w:r>
                <w:rPr>
                  <w:rFonts w:ascii="Times New Roman" w:cs="Times New Roman" w:eastAsia="Times New Roman" w:hAnsi="Times New Roman"/>
                  <w:sz w:val="13"/>
                  <w:szCs w:val="13"/>
                  <w:color w:val="0000FF"/>
                  <w:w w:val="99"/>
                </w:rPr>
                <w:t>2024</w:t>
              </w:r>
            </w:hyperlink>
          </w:p>
        </w:tc>
        <w:tc>
          <w:tcPr>
            <w:tcW w:w="4620" w:type="dxa"/>
            <w:vAlign w:val="bottom"/>
            <w:gridSpan w:val="18"/>
          </w:tcPr>
          <w:p>
            <w:pPr>
              <w:ind w:left="20"/>
              <w:spacing w:after="0"/>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Executive Bonus Plan.</w:t>
              </w:r>
            </w:hyperlink>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February 28, 2024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0000FF"/>
                <w:w w:val="99"/>
              </w:rPr>
              <w:t>2025</w:t>
            </w:r>
          </w:p>
        </w:tc>
        <w:tc>
          <w:tcPr>
            <w:tcW w:w="462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00FF"/>
              </w:rPr>
              <w:t>Executive Bonus Plan.</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0000FF"/>
            </w:tcBorders>
          </w:tcPr>
          <w:p>
            <w:pPr>
              <w:spacing w:after="0"/>
              <w:rPr>
                <w:rFonts w:ascii="Times New Roman" w:cs="Times New Roman" w:eastAsia="Times New Roman" w:hAnsi="Times New Roman"/>
                <w:sz w:val="13"/>
                <w:szCs w:val="13"/>
                <w:color w:val="0000FF"/>
                <w:w w:val="99"/>
              </w:rPr>
            </w:pPr>
            <w:hyperlink r:id="rId133">
              <w:r>
                <w:rPr>
                  <w:rFonts w:ascii="Times New Roman" w:cs="Times New Roman" w:eastAsia="Times New Roman" w:hAnsi="Times New Roman"/>
                  <w:sz w:val="13"/>
                  <w:szCs w:val="13"/>
                  <w:color w:val="0000FF"/>
                  <w:w w:val="99"/>
                </w:rPr>
                <w:t>2020</w:t>
              </w:r>
            </w:hyperlink>
          </w:p>
        </w:tc>
        <w:tc>
          <w:tcPr>
            <w:tcW w:w="3720" w:type="dxa"/>
            <w:vAlign w:val="bottom"/>
            <w:tcBorders>
              <w:bottom w:val="single" w:sz="8" w:color="0000FF"/>
            </w:tcBorders>
            <w:gridSpan w:val="13"/>
          </w:tcPr>
          <w:p>
            <w:pPr>
              <w:ind w:left="20"/>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Employee Stock Purchase Plan, and form of subscription agreement.</w:t>
              </w:r>
            </w:hyperlink>
          </w:p>
        </w:tc>
        <w:tc>
          <w:tcPr>
            <w:tcW w:w="900" w:type="dxa"/>
            <w:vAlign w:val="bottom"/>
            <w:gridSpan w:val="5"/>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9"/>
          </w:tcPr>
          <w:p>
            <w:pPr>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Executive Deferred Compensation Plan.</w:t>
              </w:r>
            </w:hyperlink>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Amended and Restated Employment Agreement, effective as of December 18, 2017, by</w:t>
              </w:r>
            </w:hyperlink>
          </w:p>
        </w:tc>
        <w:tc>
          <w:tcPr>
            <w:tcW w:w="180" w:type="dxa"/>
            <w:vAlign w:val="bottom"/>
            <w:gridSpan w:val="2"/>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gridSpan w:val="19"/>
          </w:tcPr>
          <w:p>
            <w:pPr>
              <w:spacing w:after="0" w:line="139"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and between the Registrant and Rajeev K. Goel.</w:t>
              </w:r>
            </w:hyperlink>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80"/>
          </w:cols>
          <w:pgMar w:left="300" w:top="2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4820" w:type="dxa"/>
            <w:vAlign w:val="bottom"/>
            <w:gridSpan w:val="30"/>
          </w:tcPr>
          <w:p>
            <w:pPr>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r>
      <w:tr>
        <w:trPr>
          <w:trHeight w:val="30"/>
        </w:trPr>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39"/>
        </w:trPr>
        <w:tc>
          <w:tcPr>
            <w:tcW w:w="10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10.15*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0"/>
          </w:tcPr>
          <w:p>
            <w:pPr>
              <w:spacing w:after="0" w:line="139"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Offer Letter, effective as of October 1, 2016, by and between the Registrant and Amar K.</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Goel, as amended.</w:t>
              </w:r>
            </w:hyperlink>
          </w:p>
        </w:tc>
        <w:tc>
          <w:tcPr>
            <w:tcW w:w="3780" w:type="dxa"/>
            <w:vAlign w:val="bottom"/>
            <w:tcBorders>
              <w:top w:val="single" w:sz="8" w:color="0000FF"/>
            </w:tcBorders>
            <w:gridSpan w:val="24"/>
          </w:tcPr>
          <w:p>
            <w:pPr>
              <w:spacing w:after="0"/>
              <w:rPr>
                <w:sz w:val="12"/>
                <w:szCs w:val="12"/>
                <w:color w:val="auto"/>
              </w:rPr>
            </w:pPr>
          </w:p>
        </w:tc>
        <w:tc>
          <w:tcPr>
            <w:tcW w:w="40" w:type="dxa"/>
            <w:vAlign w:val="bottom"/>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Employment Agreement, effective as of November 7,2011, by and between the</w:t>
              </w:r>
            </w:hyperlink>
          </w:p>
        </w:tc>
        <w:tc>
          <w:tcPr>
            <w:tcW w:w="560" w:type="dxa"/>
            <w:vAlign w:val="bottom"/>
            <w:gridSpan w:val="12"/>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0"/>
          </w:tcPr>
          <w:p>
            <w:pPr>
              <w:spacing w:after="0" w:line="139"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Registrant and Steven Pantelick, as amended.</w:t>
              </w:r>
            </w:hyperlink>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Retention Agreement, dated as of January 29, 2021, by and between the Registrant and</w:t>
              </w:r>
            </w:hyperlink>
          </w:p>
        </w:tc>
        <w:tc>
          <w:tcPr>
            <w:tcW w:w="140" w:type="dxa"/>
            <w:vAlign w:val="bottom"/>
            <w:gridSpan w:val="4"/>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0"/>
          </w:tcPr>
          <w:p>
            <w:pPr>
              <w:spacing w:after="0" w:line="139"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Rajeev K. Goel.</w:t>
              </w:r>
            </w:hyperlink>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Retention Agreement, dated as of January 29, 2021, by and between the Registrant and</w:t>
              </w:r>
            </w:hyperlink>
          </w:p>
        </w:tc>
        <w:tc>
          <w:tcPr>
            <w:tcW w:w="140" w:type="dxa"/>
            <w:vAlign w:val="bottom"/>
            <w:gridSpan w:val="4"/>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0000FF"/>
            </w:tcBorders>
            <w:gridSpan w:val="3"/>
          </w:tcPr>
          <w:p>
            <w:pPr>
              <w:spacing w:after="0" w:line="139"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Amar K. Goel.</w:t>
              </w:r>
            </w:hyperlink>
          </w:p>
        </w:tc>
        <w:tc>
          <w:tcPr>
            <w:tcW w:w="3960" w:type="dxa"/>
            <w:vAlign w:val="bottom"/>
            <w:gridSpan w:val="27"/>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Retention Agreement, dated as of January 29, 2021, by and between the Registrant and</w:t>
              </w:r>
            </w:hyperlink>
          </w:p>
        </w:tc>
        <w:tc>
          <w:tcPr>
            <w:tcW w:w="140" w:type="dxa"/>
            <w:vAlign w:val="bottom"/>
            <w:gridSpan w:val="4"/>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0000FF"/>
            </w:tcBorders>
            <w:gridSpan w:val="4"/>
          </w:tcPr>
          <w:p>
            <w:pPr>
              <w:spacing w:after="0" w:line="139"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Steven Pantelick.</w:t>
              </w:r>
            </w:hyperlink>
          </w:p>
        </w:tc>
        <w:tc>
          <w:tcPr>
            <w:tcW w:w="3880" w:type="dxa"/>
            <w:vAlign w:val="bottom"/>
            <w:gridSpan w:val="26"/>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Retention Agreement, dated as of January 29, 2021, by and between the Registrant and</w:t>
              </w:r>
            </w:hyperlink>
          </w:p>
        </w:tc>
        <w:tc>
          <w:tcPr>
            <w:tcW w:w="140" w:type="dxa"/>
            <w:vAlign w:val="bottom"/>
            <w:gridSpan w:val="4"/>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0000FF"/>
            </w:tcBorders>
            <w:gridSpan w:val="2"/>
          </w:tcPr>
          <w:p>
            <w:pPr>
              <w:spacing w:after="0" w:line="139"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Jeffrey Hirsch.</w:t>
              </w:r>
            </w:hyperlink>
          </w:p>
        </w:tc>
        <w:tc>
          <w:tcPr>
            <w:tcW w:w="4000" w:type="dxa"/>
            <w:vAlign w:val="bottom"/>
            <w:gridSpan w:val="28"/>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Retention Agreement, dated as of January 29, 2021, by and between the Registrant and</w:t>
              </w:r>
            </w:hyperlink>
          </w:p>
        </w:tc>
        <w:tc>
          <w:tcPr>
            <w:tcW w:w="140" w:type="dxa"/>
            <w:vAlign w:val="bottom"/>
            <w:gridSpan w:val="4"/>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0000FF"/>
            </w:tcBorders>
          </w:tcPr>
          <w:p>
            <w:pPr>
              <w:spacing w:after="0" w:line="139"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Mukul Kumar.</w:t>
              </w:r>
            </w:hyperlink>
          </w:p>
        </w:tc>
        <w:tc>
          <w:tcPr>
            <w:tcW w:w="4020" w:type="dxa"/>
            <w:vAlign w:val="bottom"/>
            <w:gridSpan w:val="29"/>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Third Amended and Restated Loan and Security Agreement, dated November 7, 2017,</w:t>
              </w:r>
            </w:hyperlink>
          </w:p>
        </w:tc>
        <w:tc>
          <w:tcPr>
            <w:tcW w:w="160" w:type="dxa"/>
            <w:vAlign w:val="bottom"/>
            <w:gridSpan w:val="5"/>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bottom w:val="single" w:sz="8" w:color="0000FF"/>
            </w:tcBorders>
            <w:gridSpan w:val="14"/>
          </w:tcPr>
          <w:p>
            <w:pPr>
              <w:spacing w:after="0" w:line="139"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by and between the Registrant and Silicon Valley Bank, as amended.</w:t>
              </w:r>
            </w:hyperlink>
          </w:p>
        </w:tc>
        <w:tc>
          <w:tcPr>
            <w:tcW w:w="1120" w:type="dxa"/>
            <w:vAlign w:val="bottom"/>
            <w:gridSpan w:val="16"/>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Second Amendment to Third Amended and Restated Loan and Security Agreement,</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7"/>
          </w:tcPr>
          <w:p>
            <w:pPr>
              <w:spacing w:after="0" w:line="139"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dated March 4, 2021, by and between the Registrant and Silicon Valley Bank.</w:t>
              </w:r>
            </w:hyperlink>
          </w:p>
        </w:tc>
        <w:tc>
          <w:tcPr>
            <w:tcW w:w="340" w:type="dxa"/>
            <w:vAlign w:val="bottom"/>
            <w:tcBorders>
              <w:top w:val="single" w:sz="8" w:color="0000FF"/>
            </w:tcBorders>
            <w:gridSpan w:val="6"/>
          </w:tcPr>
          <w:p>
            <w:pPr>
              <w:spacing w:after="0"/>
              <w:rPr>
                <w:sz w:val="12"/>
                <w:szCs w:val="12"/>
                <w:color w:val="auto"/>
              </w:rPr>
            </w:pPr>
          </w:p>
        </w:tc>
        <w:tc>
          <w:tcPr>
            <w:tcW w:w="300" w:type="dxa"/>
            <w:vAlign w:val="bottom"/>
            <w:gridSpan w:val="7"/>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Third Amendment to Third Amended and Restated Loan and Security Agreement, dated</w:t>
              </w:r>
            </w:hyperlink>
          </w:p>
        </w:tc>
        <w:tc>
          <w:tcPr>
            <w:tcW w:w="60" w:type="dxa"/>
            <w:vAlign w:val="bottom"/>
            <w:gridSpan w:val="2"/>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bottom w:val="single" w:sz="8" w:color="0000FF"/>
            </w:tcBorders>
            <w:gridSpan w:val="15"/>
          </w:tcPr>
          <w:p>
            <w:pPr>
              <w:spacing w:after="0" w:line="139"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April 6, 2021, by and between the Company and Silicon Valley Bank.</w:t>
              </w:r>
            </w:hyperlink>
          </w:p>
        </w:tc>
        <w:tc>
          <w:tcPr>
            <w:tcW w:w="1060" w:type="dxa"/>
            <w:vAlign w:val="bottom"/>
            <w:gridSpan w:val="15"/>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Fourth Amendment to Third Amended and Restated Loan and Security Agreement,</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Borders>
              <w:top w:val="single" w:sz="8" w:color="0000FF"/>
            </w:tcBorders>
            <w:gridSpan w:val="22"/>
          </w:tcPr>
          <w:p>
            <w:pPr>
              <w:spacing w:after="0" w:line="139"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dated June 4, 2021, by and between the Registrant and Silicon Valley Bank.</w:t>
              </w:r>
            </w:hyperlink>
          </w:p>
        </w:tc>
        <w:tc>
          <w:tcPr>
            <w:tcW w:w="340" w:type="dxa"/>
            <w:vAlign w:val="bottom"/>
            <w:gridSpan w:val="8"/>
          </w:tcPr>
          <w:p>
            <w:pPr>
              <w:spacing w:after="0"/>
              <w:rPr>
                <w:sz w:val="12"/>
                <w:szCs w:val="12"/>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10.26†</w:t>
            </w: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Google Exchange Integration Agreement, dated May 14, 2018, by and between the</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tcBorders>
            <w:gridSpan w:val="21"/>
          </w:tcPr>
          <w:p>
            <w:pPr>
              <w:spacing w:after="0" w:line="139"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Registrant and Google Inc, as amended.</w:t>
              </w:r>
            </w:hyperlink>
          </w:p>
        </w:tc>
        <w:tc>
          <w:tcPr>
            <w:tcW w:w="360" w:type="dxa"/>
            <w:vAlign w:val="bottom"/>
            <w:gridSpan w:val="9"/>
          </w:tcPr>
          <w:p>
            <w:pPr>
              <w:spacing w:after="0"/>
              <w:rPr>
                <w:sz w:val="12"/>
                <w:szCs w:val="12"/>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10.27†</w:t>
            </w: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PubMatic Demand Partner Agreement, dated November 5, 2011, by and between the</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12"/>
          </w:tcPr>
          <w:p>
            <w:pPr>
              <w:spacing w:after="0" w:line="139"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Registrant and The Trade Desk, Inc., as amended.</w:t>
              </w:r>
            </w:hyperlink>
          </w:p>
        </w:tc>
        <w:tc>
          <w:tcPr>
            <w:tcW w:w="1920" w:type="dxa"/>
            <w:vAlign w:val="bottom"/>
            <w:tcBorders>
              <w:top w:val="single" w:sz="8" w:color="0000FF"/>
            </w:tcBorders>
            <w:gridSpan w:val="12"/>
          </w:tcPr>
          <w:p>
            <w:pPr>
              <w:spacing w:after="0"/>
              <w:rPr>
                <w:sz w:val="12"/>
                <w:szCs w:val="12"/>
                <w:color w:val="auto"/>
              </w:rPr>
            </w:pPr>
          </w:p>
        </w:tc>
        <w:tc>
          <w:tcPr>
            <w:tcW w:w="220" w:type="dxa"/>
            <w:vAlign w:val="bottom"/>
            <w:gridSpan w:val="6"/>
          </w:tcPr>
          <w:p>
            <w:pPr>
              <w:spacing w:after="0"/>
              <w:rPr>
                <w:sz w:val="12"/>
                <w:szCs w:val="12"/>
                <w:color w:val="auto"/>
              </w:rPr>
            </w:pPr>
          </w:p>
        </w:tc>
      </w:tr>
      <w:tr>
        <w:trPr>
          <w:trHeight w:val="22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10.28†</w:t>
            </w: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Yahoo Ad Exchange Agreement - Media Buyer, effective as of December 16, 2015, by</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tcBorders>
            <w:gridSpan w:val="25"/>
          </w:tcPr>
          <w:p>
            <w:pPr>
              <w:spacing w:after="0" w:line="139"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and between the Registrant and Yahoo! Inc.</w:t>
              </w:r>
            </w:hyperlink>
          </w:p>
        </w:tc>
        <w:tc>
          <w:tcPr>
            <w:tcW w:w="160" w:type="dxa"/>
            <w:vAlign w:val="bottom"/>
            <w:gridSpan w:val="5"/>
          </w:tcPr>
          <w:p>
            <w:pPr>
              <w:spacing w:after="0"/>
              <w:rPr>
                <w:sz w:val="12"/>
                <w:szCs w:val="12"/>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10.29†</w:t>
            </w:r>
          </w:p>
        </w:tc>
        <w:tc>
          <w:tcPr>
            <w:tcW w:w="20" w:type="dxa"/>
            <w:vAlign w:val="bottom"/>
          </w:tcPr>
          <w:p>
            <w:pPr>
              <w:spacing w:after="0"/>
              <w:rPr>
                <w:sz w:val="19"/>
                <w:szCs w:val="19"/>
                <w:color w:val="auto"/>
              </w:rPr>
            </w:pPr>
          </w:p>
        </w:tc>
        <w:tc>
          <w:tcPr>
            <w:tcW w:w="4700" w:type="dxa"/>
            <w:vAlign w:val="bottom"/>
            <w:tcBorders>
              <w:bottom w:val="single" w:sz="8" w:color="0000FF"/>
            </w:tcBorders>
            <w:gridSpan w:val="27"/>
          </w:tcPr>
          <w:p>
            <w:pPr>
              <w:spacing w:after="0"/>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Sublease Agreement, dated as of October 20, 2021, by and between PubMatic, Inc. and</w:t>
              </w:r>
            </w:hyperlink>
          </w:p>
        </w:tc>
        <w:tc>
          <w:tcPr>
            <w:tcW w:w="120" w:type="dxa"/>
            <w:vAlign w:val="bottom"/>
            <w:gridSpan w:val="3"/>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0"/>
          </w:tcPr>
          <w:p>
            <w:pPr>
              <w:spacing w:after="0" w:line="139"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Chan Zuckerberg Initiative, LLC.</w:t>
              </w:r>
            </w:hyperlink>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First Amendment to Sublease Agreement, dated as of November 8, 2021, by and</w:t>
              </w:r>
            </w:hyperlink>
          </w:p>
        </w:tc>
        <w:tc>
          <w:tcPr>
            <w:tcW w:w="480" w:type="dxa"/>
            <w:vAlign w:val="bottom"/>
            <w:gridSpan w:val="11"/>
          </w:tcPr>
          <w:p>
            <w:pPr>
              <w:spacing w:after="0"/>
              <w:rPr>
                <w:sz w:val="19"/>
                <w:szCs w:val="19"/>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0"/>
          </w:tcPr>
          <w:p>
            <w:pPr>
              <w:spacing w:after="0" w:line="139"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between PubMatic, Inc. and Chan Zuckerberg Initiative, LLC.</w:t>
              </w:r>
            </w:hyperlink>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Form of Tier 1 Retention Agreement.</w:t>
              </w:r>
            </w:hyperlink>
          </w:p>
        </w:tc>
        <w:tc>
          <w:tcPr>
            <w:tcW w:w="1320" w:type="dxa"/>
            <w:vAlign w:val="bottom"/>
            <w:tcBorders>
              <w:top w:val="single" w:sz="8" w:color="0000FF"/>
            </w:tcBorders>
            <w:gridSpan w:val="6"/>
          </w:tcPr>
          <w:p>
            <w:pPr>
              <w:spacing w:after="0"/>
              <w:rPr>
                <w:sz w:val="19"/>
                <w:szCs w:val="19"/>
                <w:color w:val="auto"/>
              </w:rPr>
            </w:pPr>
          </w:p>
        </w:tc>
        <w:tc>
          <w:tcPr>
            <w:tcW w:w="1480" w:type="dxa"/>
            <w:vAlign w:val="bottom"/>
            <w:gridSpan w:val="17"/>
          </w:tcPr>
          <w:p>
            <w:pPr>
              <w:spacing w:after="0"/>
              <w:rPr>
                <w:sz w:val="19"/>
                <w:szCs w:val="19"/>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Form of Tier 2 Retention Agreement.</w:t>
              </w:r>
            </w:hyperlink>
          </w:p>
        </w:tc>
        <w:tc>
          <w:tcPr>
            <w:tcW w:w="2800" w:type="dxa"/>
            <w:vAlign w:val="bottom"/>
            <w:gridSpan w:val="23"/>
          </w:tcPr>
          <w:p>
            <w:pPr>
              <w:spacing w:after="0"/>
              <w:rPr>
                <w:sz w:val="19"/>
                <w:szCs w:val="19"/>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Credit Agreement, dated as of October 17, 2022, by and among the Registrant, the</w:t>
              </w:r>
            </w:hyperlink>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11"/>
          </w:tcPr>
          <w:p>
            <w:pPr>
              <w:spacing w:after="0" w:line="139"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lenders party thereto, and Silicon Valley Bank</w:t>
              </w:r>
            </w:hyperlink>
          </w:p>
        </w:tc>
        <w:tc>
          <w:tcPr>
            <w:tcW w:w="1940" w:type="dxa"/>
            <w:vAlign w:val="bottom"/>
            <w:tcBorders>
              <w:top w:val="single" w:sz="8" w:color="0000FF"/>
            </w:tcBorders>
            <w:gridSpan w:val="9"/>
          </w:tcPr>
          <w:p>
            <w:pPr>
              <w:spacing w:after="0"/>
              <w:rPr>
                <w:sz w:val="12"/>
                <w:szCs w:val="12"/>
                <w:color w:val="auto"/>
              </w:rPr>
            </w:pPr>
          </w:p>
        </w:tc>
        <w:tc>
          <w:tcPr>
            <w:tcW w:w="400" w:type="dxa"/>
            <w:vAlign w:val="bottom"/>
            <w:gridSpan w:val="10"/>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30"/>
          </w:tcPr>
          <w:p>
            <w:pPr>
              <w:spacing w:after="0"/>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Advisor Agreement between Jeffrey Hirsch and PubMatic, Inc. dated March 30, 2023</w:t>
              </w:r>
            </w:hyperlink>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0"/>
        </w:trPr>
        <w:tc>
          <w:tcPr>
            <w:tcW w:w="7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9"/>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8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Filed Herewith</w:t>
            </w:r>
          </w:p>
        </w:tc>
      </w:tr>
      <w:tr>
        <w:trPr>
          <w:trHeight w:val="30"/>
        </w:trPr>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9"/>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14"/>
                <w:szCs w:val="14"/>
                <w:color w:val="auto"/>
              </w:rPr>
            </w:pPr>
          </w:p>
        </w:tc>
      </w:tr>
      <w:tr>
        <w:trPr>
          <w:trHeight w:val="403"/>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1, 2022</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March 25,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April 9,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June 8,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13, 2020</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10,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10, 2021</w:t>
            </w:r>
          </w:p>
        </w:tc>
        <w:tc>
          <w:tcPr>
            <w:tcW w:w="820" w:type="dxa"/>
            <w:vAlign w:val="bottom"/>
          </w:tcPr>
          <w:p>
            <w:pPr>
              <w:spacing w:after="0"/>
              <w:rPr>
                <w:sz w:val="24"/>
                <w:szCs w:val="24"/>
                <w:color w:val="auto"/>
              </w:rPr>
            </w:pPr>
          </w:p>
        </w:tc>
      </w:tr>
      <w:tr>
        <w:trPr>
          <w:trHeight w:val="403"/>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24"/>
                <w:szCs w:val="24"/>
                <w:color w:val="auto"/>
              </w:rPr>
            </w:pPr>
          </w:p>
        </w:tc>
      </w:tr>
      <w:tr>
        <w:trPr>
          <w:trHeight w:val="244"/>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333-250077</w:t>
            </w:r>
          </w:p>
        </w:tc>
        <w:tc>
          <w:tcPr>
            <w:tcW w:w="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November 30, 2020</w:t>
            </w:r>
          </w:p>
        </w:tc>
        <w:tc>
          <w:tcPr>
            <w:tcW w:w="820" w:type="dxa"/>
            <w:vAlign w:val="bottom"/>
          </w:tcPr>
          <w:p>
            <w:pPr>
              <w:spacing w:after="0"/>
              <w:rPr>
                <w:sz w:val="21"/>
                <w:szCs w:val="21"/>
                <w:color w:val="auto"/>
              </w:rPr>
            </w:pPr>
          </w:p>
        </w:tc>
      </w:tr>
      <w:tr>
        <w:trPr>
          <w:trHeight w:val="244"/>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October 17, 2022</w:t>
            </w:r>
          </w:p>
        </w:tc>
        <w:tc>
          <w:tcPr>
            <w:tcW w:w="820" w:type="dxa"/>
            <w:vAlign w:val="bottom"/>
          </w:tcPr>
          <w:p>
            <w:pPr>
              <w:spacing w:after="0"/>
              <w:rPr>
                <w:sz w:val="21"/>
                <w:szCs w:val="21"/>
                <w:color w:val="auto"/>
              </w:rPr>
            </w:pPr>
          </w:p>
        </w:tc>
      </w:tr>
      <w:tr>
        <w:trPr>
          <w:trHeight w:val="403"/>
        </w:trPr>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rPr>
              <w:t>May 9, 2023</w:t>
            </w:r>
          </w:p>
        </w:tc>
        <w:tc>
          <w:tcPr>
            <w:tcW w:w="820" w:type="dxa"/>
            <w:vAlign w:val="bottom"/>
          </w:tcPr>
          <w:p>
            <w:pPr>
              <w:spacing w:after="0"/>
              <w:rPr>
                <w:sz w:val="24"/>
                <w:szCs w:val="24"/>
                <w:color w:val="auto"/>
              </w:rPr>
            </w:pPr>
          </w:p>
        </w:tc>
      </w:tr>
    </w:tbl>
    <w:p>
      <w:pPr>
        <w:sectPr>
          <w:pgSz w:w="11900" w:h="16838" w:orient="portrait"/>
          <w:cols w:equalWidth="0" w:num="2">
            <w:col w:w="5920" w:space="80"/>
            <w:col w:w="5280"/>
          </w:cols>
          <w:pgMar w:left="300" w:top="210" w:right="3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10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 Herewith</w:t>
            </w:r>
          </w:p>
        </w:tc>
        <w:tc>
          <w:tcPr>
            <w:tcW w:w="0" w:type="dxa"/>
            <w:vAlign w:val="bottom"/>
          </w:tcPr>
          <w:p>
            <w:pPr>
              <w:spacing w:after="0"/>
              <w:rPr>
                <w:sz w:val="1"/>
                <w:szCs w:val="1"/>
                <w:color w:val="auto"/>
              </w:rPr>
            </w:pPr>
          </w:p>
        </w:tc>
      </w:tr>
      <w:tr>
        <w:trPr>
          <w:trHeight w:val="30"/>
        </w:trPr>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Insider Trading Policy.</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rPr>
              <w:t>Subsidiaries of the Registrant.</w:t>
            </w:r>
          </w:p>
        </w:tc>
        <w:tc>
          <w:tcPr>
            <w:tcW w:w="3280" w:type="dxa"/>
            <w:vAlign w:val="bottom"/>
            <w:gridSpan w:val="11"/>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rPr>
              <w:t>Consent of Deloitte &amp; Touche LLP, independent registered public accounting firm.</w:t>
            </w:r>
          </w:p>
        </w:tc>
        <w:tc>
          <w:tcPr>
            <w:tcW w:w="440" w:type="dxa"/>
            <w:vAlign w:val="bottom"/>
            <w:gridSpan w:val="6"/>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Power of Attorney (included in the signature page hereto)</w:t>
            </w:r>
            <w:r>
              <w:rPr>
                <w:rFonts w:ascii="Times New Roman" w:cs="Times New Roman" w:eastAsia="Times New Roman" w:hAnsi="Times New Roman"/>
                <w:sz w:val="13"/>
                <w:szCs w:val="13"/>
                <w:color w:val="000000"/>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Rules 13a-14(a) and 15d-14(a) under</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8"/>
          </w:tcPr>
          <w:p>
            <w:pPr>
              <w:spacing w:after="0" w:line="139" w:lineRule="exact"/>
              <w:rPr>
                <w:sz w:val="20"/>
                <w:szCs w:val="20"/>
                <w:color w:val="auto"/>
              </w:rPr>
            </w:pPr>
            <w:r>
              <w:rPr>
                <w:rFonts w:ascii="Times New Roman" w:cs="Times New Roman" w:eastAsia="Times New Roman" w:hAnsi="Times New Roman"/>
                <w:sz w:val="13"/>
                <w:szCs w:val="13"/>
                <w:color w:val="0000FF"/>
              </w:rPr>
              <w:t>the Securities Exchange Act of 1934, as adopted pursuant to Section 302 of the</w:t>
            </w:r>
          </w:p>
        </w:tc>
        <w:tc>
          <w:tcPr>
            <w:tcW w:w="540" w:type="dxa"/>
            <w:vAlign w:val="bottom"/>
            <w:tcBorders>
              <w:top w:val="single" w:sz="8" w:color="0000FF"/>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gridSpan w:val="15"/>
          </w:tcPr>
          <w:p>
            <w:pPr>
              <w:spacing w:after="0" w:line="13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Chief Financial Officer pursuant to Rules 13a-14(a) and 15d-14(a) under</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top w:val="single" w:sz="8" w:color="0000FF"/>
            </w:tcBorders>
            <w:gridSpan w:val="12"/>
          </w:tcPr>
          <w:p>
            <w:pPr>
              <w:spacing w:after="0" w:line="139" w:lineRule="exact"/>
              <w:rPr>
                <w:sz w:val="20"/>
                <w:szCs w:val="20"/>
                <w:color w:val="auto"/>
              </w:rPr>
            </w:pPr>
            <w:r>
              <w:rPr>
                <w:rFonts w:ascii="Times New Roman" w:cs="Times New Roman" w:eastAsia="Times New Roman" w:hAnsi="Times New Roman"/>
                <w:sz w:val="13"/>
                <w:szCs w:val="13"/>
                <w:color w:val="0000FF"/>
              </w:rPr>
              <w:t>the Securities Exchange Act of 1934, as adopted pursuant to Section 302 of the</w:t>
            </w:r>
          </w:p>
        </w:tc>
        <w:tc>
          <w:tcPr>
            <w:tcW w:w="140" w:type="dxa"/>
            <w:vAlign w:val="bottom"/>
            <w:gridSpan w:val="3"/>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4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 as adopted</w:t>
            </w:r>
          </w:p>
        </w:tc>
        <w:tc>
          <w:tcPr>
            <w:tcW w:w="180" w:type="dxa"/>
            <w:vAlign w:val="bottom"/>
            <w:gridSpan w:val="4"/>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tcBorders>
              <w:bottom w:val="single" w:sz="8" w:color="0000FF"/>
            </w:tcBorders>
            <w:gridSpan w:val="7"/>
          </w:tcPr>
          <w:p>
            <w:pPr>
              <w:spacing w:after="0" w:line="139" w:lineRule="exact"/>
              <w:rPr>
                <w:sz w:val="20"/>
                <w:szCs w:val="20"/>
                <w:color w:val="auto"/>
              </w:rPr>
            </w:pPr>
            <w:r>
              <w:rPr>
                <w:rFonts w:ascii="Times New Roman" w:cs="Times New Roman" w:eastAsia="Times New Roman" w:hAnsi="Times New Roman"/>
                <w:sz w:val="13"/>
                <w:szCs w:val="13"/>
                <w:color w:val="0000FF"/>
              </w:rPr>
              <w:t>pursuant to Section 906 of the Sarbanes-Oxley Act of 2002.</w:t>
            </w:r>
          </w:p>
        </w:tc>
        <w:tc>
          <w:tcPr>
            <w:tcW w:w="1660" w:type="dxa"/>
            <w:vAlign w:val="bottom"/>
            <w:gridSpan w:val="8"/>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Chief Financial Officer pursuant to 18 U.S.C. Section 1350, as adopted</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tcBorders>
              <w:top w:val="single" w:sz="8" w:color="0000FF"/>
              <w:bottom w:val="single" w:sz="8" w:color="0000FF"/>
            </w:tcBorders>
            <w:gridSpan w:val="6"/>
          </w:tcPr>
          <w:p>
            <w:pPr>
              <w:spacing w:after="0" w:line="139" w:lineRule="exact"/>
              <w:rPr>
                <w:sz w:val="20"/>
                <w:szCs w:val="20"/>
                <w:color w:val="auto"/>
              </w:rPr>
            </w:pPr>
            <w:r>
              <w:rPr>
                <w:rFonts w:ascii="Times New Roman" w:cs="Times New Roman" w:eastAsia="Times New Roman" w:hAnsi="Times New Roman"/>
                <w:sz w:val="13"/>
                <w:szCs w:val="13"/>
                <w:color w:val="0000FF"/>
              </w:rPr>
              <w:t>pursuant to Section 906 of the Sarbanes-Oxley Act of 2002.</w:t>
            </w:r>
          </w:p>
        </w:tc>
        <w:tc>
          <w:tcPr>
            <w:tcW w:w="1460" w:type="dxa"/>
            <w:vAlign w:val="bottom"/>
            <w:tcBorders>
              <w:top w:val="single" w:sz="8" w:color="0000FF"/>
            </w:tcBorders>
            <w:gridSpan w:val="4"/>
          </w:tcPr>
          <w:p>
            <w:pPr>
              <w:spacing w:after="0"/>
              <w:rPr>
                <w:sz w:val="12"/>
                <w:szCs w:val="12"/>
                <w:color w:val="auto"/>
              </w:rPr>
            </w:pPr>
          </w:p>
        </w:tc>
        <w:tc>
          <w:tcPr>
            <w:tcW w:w="220" w:type="dxa"/>
            <w:vAlign w:val="bottom"/>
            <w:gridSpan w:val="5"/>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0000FF"/>
            </w:tcBorders>
          </w:tcPr>
          <w:p>
            <w:pPr>
              <w:spacing w:after="0"/>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Clawback Policy.</w:t>
              </w:r>
            </w:hyperlink>
          </w:p>
        </w:tc>
        <w:tc>
          <w:tcPr>
            <w:tcW w:w="3960" w:type="dxa"/>
            <w:vAlign w:val="bottom"/>
            <w:gridSpan w:val="14"/>
          </w:tcPr>
          <w:p>
            <w:pPr>
              <w:spacing w:after="0"/>
              <w:rPr>
                <w:sz w:val="19"/>
                <w:szCs w:val="19"/>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10-K</w:t>
            </w: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3"/>
                <w:szCs w:val="13"/>
                <w:color w:val="auto"/>
              </w:rPr>
              <w:t>001-39748</w:t>
            </w:r>
          </w:p>
        </w:tc>
        <w:tc>
          <w:tcPr>
            <w:tcW w:w="60" w:type="dxa"/>
            <w:vAlign w:val="bottom"/>
          </w:tcPr>
          <w:p>
            <w:pPr>
              <w:spacing w:after="0"/>
              <w:rPr>
                <w:sz w:val="19"/>
                <w:szCs w:val="19"/>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97.1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rPr>
              <w:t>February 28, 2024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tcPr>
          <w:p>
            <w:pPr>
              <w:spacing w:after="0"/>
              <w:rPr>
                <w:sz w:val="20"/>
                <w:szCs w:val="20"/>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Interactive Data File because its XBRL tags are embedded within the Inline XBRL</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document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Pr>
          <w:p>
            <w:pPr>
              <w:spacing w:after="0"/>
              <w:rPr>
                <w:sz w:val="22"/>
                <w:szCs w:val="22"/>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4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Pr>
          <w:p>
            <w:pPr>
              <w:spacing w:after="0"/>
              <w:rPr>
                <w:sz w:val="21"/>
                <w:szCs w:val="21"/>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4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Pr>
          <w:p>
            <w:pPr>
              <w:spacing w:after="0"/>
              <w:rPr>
                <w:sz w:val="21"/>
                <w:szCs w:val="21"/>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4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Pr>
          <w:p>
            <w:pPr>
              <w:spacing w:after="0"/>
              <w:rPr>
                <w:sz w:val="21"/>
                <w:szCs w:val="21"/>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44"/>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Pr>
          <w:p>
            <w:pPr>
              <w:spacing w:after="0"/>
              <w:rPr>
                <w:sz w:val="21"/>
                <w:szCs w:val="21"/>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29"/>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39" w:lineRule="exact"/>
        <w:rPr>
          <w:sz w:val="20"/>
          <w:szCs w:val="20"/>
          <w:color w:val="auto"/>
        </w:rPr>
      </w:pPr>
    </w:p>
    <w:p>
      <w:pPr>
        <w:ind w:left="200" w:hanging="195"/>
        <w:spacing w:after="0"/>
        <w:tabs>
          <w:tab w:leader="none" w:pos="20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Indicates a management contract, compensatory plan or arrangement.</w:t>
      </w:r>
    </w:p>
    <w:p>
      <w:pPr>
        <w:spacing w:after="0" w:line="41"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Registrant has omitted portions of the exhibit as permitted under Item 601(b)(10) of Regulation S-K.</w:t>
      </w:r>
    </w:p>
    <w:p>
      <w:pPr>
        <w:spacing w:after="0" w:line="31" w:lineRule="exact"/>
        <w:rPr>
          <w:sz w:val="20"/>
          <w:szCs w:val="20"/>
          <w:color w:val="auto"/>
        </w:rPr>
      </w:pPr>
    </w:p>
    <w:p>
      <w:pPr>
        <w:ind w:left="260" w:hanging="255"/>
        <w:spacing w:after="0" w:line="251" w:lineRule="auto"/>
        <w:tabs>
          <w:tab w:leader="none" w:pos="202"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February 27, 2025</w:t>
      </w:r>
    </w:p>
    <w:p>
      <w:pPr>
        <w:spacing w:after="0" w:line="2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PUBMATIC, INC.</w:t>
      </w:r>
    </w:p>
    <w:p>
      <w:pPr>
        <w:spacing w:after="0" w:line="265" w:lineRule="exact"/>
        <w:rPr>
          <w:sz w:val="20"/>
          <w:szCs w:val="20"/>
          <w:color w:val="auto"/>
        </w:rPr>
      </w:pPr>
    </w:p>
    <w:p>
      <w:pPr>
        <w:ind w:left="5680"/>
        <w:spacing w:after="0"/>
        <w:tabs>
          <w:tab w:leader="none" w:pos="61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28575</wp:posOffset>
            </wp:positionV>
            <wp:extent cx="32677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3267710"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Rajeev K. Goel</w:t>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986155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Rajeev K. Goel and Steven Pantelick, and each of them, as his or her true and lawful attorneys-in-fact and agents, each with full power of substitution, for him or her and in his or her name,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their or his substitute or substitutes, may lawfully do or cause to be done by virtue hereof.</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in the capacities and on the dates indicated.</w:t>
      </w:r>
    </w:p>
    <w:p>
      <w:pPr>
        <w:spacing w:after="0" w:line="89" w:lineRule="exact"/>
        <w:rPr>
          <w:sz w:val="20"/>
          <w:szCs w:val="20"/>
          <w:color w:val="auto"/>
        </w:rPr>
      </w:pPr>
    </w:p>
    <w:p>
      <w:pPr>
        <w:ind w:left="2100"/>
        <w:spacing w:after="0"/>
        <w:tabs>
          <w:tab w:leader="none" w:pos="6960" w:val="left"/>
          <w:tab w:leader="none" w:pos="1026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p>
      <w:pPr>
        <w:spacing w:after="0" w:line="10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Rajeev K. Goel</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Steven Pantelick</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Lisa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Lisa Gimbel</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Susan Daimler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Susan Daimler</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Shelagh Glaser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Shelagh Glaser</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Amar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Amar K. Goel</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Anton Hanebrink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Anton Hanebrink</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Ramon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Ramon Jones</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Nick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Nick Mehta</w:t>
      </w:r>
    </w:p>
    <w:p>
      <w:pPr>
        <w:spacing w:after="0" w:line="15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 Jacob Shulman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97116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Jacob Shulman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19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3">
            <w:col w:w="5320" w:space="720"/>
            <w:col w:w="3100" w:space="720"/>
            <w:col w:w="1420"/>
          </w:cols>
          <w:pgMar w:left="300" w:top="210" w:right="319" w:bottom="1440" w:gutter="0" w:footer="0" w:header="0"/>
          <w:type w:val="continuous"/>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4"/>
          <w:szCs w:val="14"/>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1228725</wp:posOffset>
            </wp:positionV>
            <wp:extent cx="1495425" cy="283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14954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40"/>
        <w:spacing w:after="0"/>
        <w:rPr>
          <w:sz w:val="20"/>
          <w:szCs w:val="20"/>
          <w:color w:val="auto"/>
        </w:rPr>
      </w:pPr>
      <w:r>
        <w:rPr>
          <w:rFonts w:ascii="Calibri" w:cs="Calibri" w:eastAsia="Calibri" w:hAnsi="Calibri"/>
          <w:sz w:val="34"/>
          <w:szCs w:val="34"/>
          <w:b w:val="1"/>
          <w:bCs w:val="1"/>
          <w:color w:val="auto"/>
        </w:rPr>
        <w:t>2025 Executve Bonus Plan</w:t>
      </w:r>
    </w:p>
    <w:p>
      <w:pPr>
        <w:sectPr>
          <w:pgSz w:w="11900" w:h="16838" w:orient="portrait"/>
          <w:cols w:equalWidth="0" w:num="1">
            <w:col w:w="10140"/>
          </w:cols>
          <w:pgMar w:left="1440" w:top="1141" w:right="319" w:bottom="1440" w:gutter="0" w:footer="0" w:header="0"/>
        </w:sectPr>
      </w:pPr>
    </w:p>
    <w:bookmarkStart w:id="118" w:name="page119"/>
    <w:bookmarkEnd w:id="118"/>
    <w:p>
      <w:pPr>
        <w:spacing w:after="0"/>
        <w:rPr>
          <w:sz w:val="20"/>
          <w:szCs w:val="20"/>
          <w:color w:val="auto"/>
        </w:rPr>
      </w:pPr>
      <w:r>
        <w:rPr>
          <w:rFonts w:ascii="Calibri" w:cs="Calibri" w:eastAsia="Calibri" w:hAnsi="Calibri"/>
          <w:sz w:val="17"/>
          <w:szCs w:val="17"/>
          <w:b w:val="1"/>
          <w:bCs w:val="1"/>
          <w:color w:val="auto"/>
        </w:rPr>
        <w:t>Overview</w:t>
      </w:r>
    </w:p>
    <w:p>
      <w:pPr>
        <w:spacing w:after="0" w:line="258" w:lineRule="auto"/>
        <w:rPr>
          <w:sz w:val="20"/>
          <w:szCs w:val="20"/>
          <w:color w:val="auto"/>
        </w:rPr>
      </w:pPr>
      <w:r>
        <w:rPr>
          <w:rFonts w:ascii="Calibri" w:cs="Calibri" w:eastAsia="Calibri" w:hAnsi="Calibri"/>
          <w:sz w:val="16"/>
          <w:szCs w:val="16"/>
          <w:color w:val="auto"/>
        </w:rPr>
        <w:t>This 2025 Executve Bonus Plan (“Plan”) specifes the terms and conditons under which eligible executve employees of PubMatc, Inc. and/or its subsidiaries ( “Company” or “PubMatc”) may receive bonuses from the Company and how the Plan will be administered. This Plan states how bonuses are calculated, but it does not change your target bonus. Please read this entre document carefully, as important aspects of the Plan and your potental bonus are detailed in this document.</w:t>
      </w:r>
    </w:p>
    <w:p>
      <w:pPr>
        <w:spacing w:after="0" w:line="175" w:lineRule="exact"/>
        <w:rPr>
          <w:sz w:val="20"/>
          <w:szCs w:val="20"/>
          <w:color w:val="auto"/>
        </w:rPr>
      </w:pPr>
    </w:p>
    <w:p>
      <w:pPr>
        <w:ind w:right="460"/>
        <w:spacing w:after="0" w:line="234" w:lineRule="auto"/>
        <w:rPr>
          <w:sz w:val="20"/>
          <w:szCs w:val="20"/>
          <w:color w:val="auto"/>
        </w:rPr>
      </w:pPr>
      <w:r>
        <w:rPr>
          <w:rFonts w:ascii="Calibri" w:cs="Calibri" w:eastAsia="Calibri" w:hAnsi="Calibri"/>
          <w:sz w:val="17"/>
          <w:szCs w:val="17"/>
          <w:color w:val="auto"/>
        </w:rPr>
        <w:t>This Plan is for the plan year January 1, 2025 through December 31, 2025 (the “Plan Period”). The Company reserves the right to modify, extend, withdraw or terminate this Plan, prospectvely, at any tme.</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Purpose of Plan</w:t>
      </w:r>
    </w:p>
    <w:p>
      <w:pPr>
        <w:ind w:right="100"/>
        <w:spacing w:after="0" w:line="239" w:lineRule="auto"/>
        <w:rPr>
          <w:sz w:val="20"/>
          <w:szCs w:val="20"/>
          <w:color w:val="auto"/>
        </w:rPr>
      </w:pPr>
      <w:r>
        <w:rPr>
          <w:rFonts w:ascii="Calibri" w:cs="Calibri" w:eastAsia="Calibri" w:hAnsi="Calibri"/>
          <w:sz w:val="17"/>
          <w:szCs w:val="17"/>
          <w:color w:val="auto"/>
        </w:rPr>
        <w:t>The purpose of the Plan is to reward executve employees for achieving defned objectves and fnancial targets, to help the Company achieve its overall goals, and to retain high-performing employees.</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Plan Objectves</w:t>
      </w:r>
    </w:p>
    <w:p>
      <w:pPr>
        <w:spacing w:after="0" w:line="233" w:lineRule="auto"/>
        <w:rPr>
          <w:sz w:val="20"/>
          <w:szCs w:val="20"/>
          <w:color w:val="auto"/>
        </w:rPr>
      </w:pPr>
      <w:r>
        <w:rPr>
          <w:rFonts w:ascii="Calibri" w:cs="Calibri" w:eastAsia="Calibri" w:hAnsi="Calibri"/>
          <w:sz w:val="17"/>
          <w:szCs w:val="17"/>
          <w:color w:val="auto"/>
        </w:rPr>
        <w:t>The primary objectve of the Plan is to promote business success by:</w:t>
      </w:r>
    </w:p>
    <w:p>
      <w:pPr>
        <w:spacing w:after="0" w:line="206" w:lineRule="exact"/>
        <w:rPr>
          <w:sz w:val="20"/>
          <w:szCs w:val="20"/>
          <w:color w:val="auto"/>
        </w:rPr>
      </w:pPr>
    </w:p>
    <w:p>
      <w:pPr>
        <w:ind w:left="500" w:hanging="240"/>
        <w:spacing w:after="0"/>
        <w:tabs>
          <w:tab w:leader="none" w:pos="500" w:val="left"/>
        </w:tabs>
        <w:numPr>
          <w:ilvl w:val="0"/>
          <w:numId w:val="29"/>
        </w:numPr>
        <w:rPr>
          <w:rFonts w:ascii="Times New Roman" w:cs="Times New Roman" w:eastAsia="Times New Roman" w:hAnsi="Times New Roman"/>
          <w:sz w:val="17"/>
          <w:szCs w:val="17"/>
          <w:color w:val="auto"/>
        </w:rPr>
      </w:pPr>
      <w:r>
        <w:rPr>
          <w:rFonts w:ascii="Calibri" w:cs="Calibri" w:eastAsia="Calibri" w:hAnsi="Calibri"/>
          <w:sz w:val="17"/>
          <w:szCs w:val="17"/>
          <w:color w:val="auto"/>
        </w:rPr>
        <w:t>Creatng a uniform plan for executves that is consistent with the market.</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9"/>
        </w:numPr>
        <w:rPr>
          <w:rFonts w:ascii="Times New Roman" w:cs="Times New Roman" w:eastAsia="Times New Roman" w:hAnsi="Times New Roman"/>
          <w:sz w:val="17"/>
          <w:szCs w:val="17"/>
          <w:color w:val="auto"/>
        </w:rPr>
      </w:pPr>
      <w:r>
        <w:rPr>
          <w:rFonts w:ascii="Calibri" w:cs="Calibri" w:eastAsia="Calibri" w:hAnsi="Calibri"/>
          <w:sz w:val="17"/>
          <w:szCs w:val="17"/>
          <w:color w:val="auto"/>
        </w:rPr>
        <w:t>Incentng executves to focus on Company targets and Individual Acton Plans.</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9"/>
        </w:numPr>
        <w:rPr>
          <w:rFonts w:ascii="Times New Roman" w:cs="Times New Roman" w:eastAsia="Times New Roman" w:hAnsi="Times New Roman"/>
          <w:sz w:val="17"/>
          <w:szCs w:val="17"/>
          <w:color w:val="auto"/>
        </w:rPr>
      </w:pPr>
      <w:r>
        <w:rPr>
          <w:rFonts w:ascii="Calibri" w:cs="Calibri" w:eastAsia="Calibri" w:hAnsi="Calibri"/>
          <w:sz w:val="17"/>
          <w:szCs w:val="17"/>
          <w:color w:val="auto"/>
        </w:rPr>
        <w:t>Providing an opportunity to receive a bonus beyond current bonus targets, should the Company exceed performance targets.</w:t>
      </w:r>
    </w:p>
    <w:p>
      <w:pPr>
        <w:spacing w:after="0" w:line="20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Partcipants and Eligibility</w:t>
      </w:r>
    </w:p>
    <w:p>
      <w:pPr>
        <w:spacing w:after="0" w:line="233" w:lineRule="auto"/>
        <w:rPr>
          <w:sz w:val="20"/>
          <w:szCs w:val="20"/>
          <w:color w:val="auto"/>
        </w:rPr>
      </w:pPr>
      <w:r>
        <w:rPr>
          <w:rFonts w:ascii="Calibri" w:cs="Calibri" w:eastAsia="Calibri" w:hAnsi="Calibri"/>
          <w:sz w:val="17"/>
          <w:szCs w:val="17"/>
          <w:color w:val="auto"/>
        </w:rPr>
        <w:t>An executve employee of the Company is eligible to partcipate in the Plan if the following eligibility criteria are met:</w:t>
      </w:r>
    </w:p>
    <w:p>
      <w:pPr>
        <w:spacing w:after="0" w:line="211" w:lineRule="exact"/>
        <w:rPr>
          <w:sz w:val="20"/>
          <w:szCs w:val="20"/>
          <w:color w:val="auto"/>
        </w:rPr>
      </w:pPr>
    </w:p>
    <w:p>
      <w:pPr>
        <w:ind w:left="520" w:right="20" w:hanging="260"/>
        <w:spacing w:after="0" w:line="237" w:lineRule="auto"/>
        <w:tabs>
          <w:tab w:leader="none" w:pos="516" w:val="left"/>
        </w:tabs>
        <w:numPr>
          <w:ilvl w:val="0"/>
          <w:numId w:val="30"/>
        </w:numPr>
        <w:rPr>
          <w:rFonts w:ascii="Times New Roman" w:cs="Times New Roman" w:eastAsia="Times New Roman" w:hAnsi="Times New Roman"/>
          <w:sz w:val="17"/>
          <w:szCs w:val="17"/>
          <w:color w:val="auto"/>
        </w:rPr>
      </w:pPr>
      <w:r>
        <w:rPr>
          <w:rFonts w:ascii="Calibri" w:cs="Calibri" w:eastAsia="Calibri" w:hAnsi="Calibri"/>
          <w:sz w:val="17"/>
          <w:szCs w:val="17"/>
          <w:color w:val="auto"/>
        </w:rPr>
        <w:t>You are one of the following executves of the Company: Chief Executve Ofcer; Chief Innovaton Ofcer; Chief Financial Ofcer; President, Engineering; Chief Technology Ofcer; Chief Marketng Ofcer; General Counsel; SVP, Product Management; SVP, Human Resources; CRO, Americas; or any other positon as determined by the Board of Directors of the Company or a designated commitee thereto (the “Board”).</w:t>
      </w:r>
    </w:p>
    <w:p>
      <w:pPr>
        <w:spacing w:after="0" w:line="1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executve employee is not an eligible partcipant under any other bonus plan generally available to employees of PubMatc for the Plan Period; and</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employee is employed in Good Standing by PubMatc in a regular, full-tme positon through the Bonus Payment Date, subject to applicable law.</w:t>
      </w:r>
    </w:p>
    <w:p>
      <w:pPr>
        <w:spacing w:after="0" w:line="189" w:lineRule="exact"/>
        <w:rPr>
          <w:sz w:val="20"/>
          <w:szCs w:val="20"/>
          <w:color w:val="auto"/>
        </w:rPr>
      </w:pPr>
    </w:p>
    <w:p>
      <w:pPr>
        <w:ind w:right="220"/>
        <w:spacing w:after="0" w:line="234" w:lineRule="auto"/>
        <w:rPr>
          <w:sz w:val="20"/>
          <w:szCs w:val="20"/>
          <w:color w:val="auto"/>
        </w:rPr>
      </w:pPr>
      <w:r>
        <w:rPr>
          <w:rFonts w:ascii="Calibri" w:cs="Calibri" w:eastAsia="Calibri" w:hAnsi="Calibri"/>
          <w:sz w:val="17"/>
          <w:szCs w:val="17"/>
          <w:color w:val="auto"/>
        </w:rPr>
        <w:t>Executve employees who are eligible to partcipate in the Plan are referred to herein as “Partcipants.” Each Partcipant must sign, date, and return a copy of this Plan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260"/>
          </w:cols>
          <w:pgMar w:left="300" w:top="1321" w:right="339" w:bottom="1440" w:gutter="0" w:footer="0" w:header="0"/>
        </w:sectPr>
      </w:pPr>
    </w:p>
    <w:bookmarkStart w:id="119" w:name="page120"/>
    <w:bookmarkEnd w:id="119"/>
    <w:p>
      <w:pPr>
        <w:spacing w:after="0"/>
        <w:rPr>
          <w:sz w:val="20"/>
          <w:szCs w:val="20"/>
          <w:color w:val="auto"/>
        </w:rPr>
      </w:pPr>
      <w:r>
        <w:rPr>
          <w:rFonts w:ascii="Calibri" w:cs="Calibri" w:eastAsia="Calibri" w:hAnsi="Calibri"/>
          <w:sz w:val="17"/>
          <w:szCs w:val="17"/>
          <w:color w:val="auto"/>
        </w:rPr>
        <w:t>before the Partcipant is eligible to receive any payments or benefts under the Plan, subject to applicable law.</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Defnitons</w:t>
      </w:r>
    </w:p>
    <w:p>
      <w:pPr>
        <w:ind w:left="260"/>
        <w:spacing w:after="0" w:line="233" w:lineRule="auto"/>
        <w:rPr>
          <w:sz w:val="20"/>
          <w:szCs w:val="20"/>
          <w:color w:val="auto"/>
        </w:rPr>
      </w:pPr>
      <w:r>
        <w:rPr>
          <w:rFonts w:ascii="Calibri" w:cs="Calibri" w:eastAsia="Calibri" w:hAnsi="Calibri"/>
          <w:sz w:val="17"/>
          <w:szCs w:val="17"/>
          <w:u w:val="single" w:color="auto"/>
          <w:color w:val="auto"/>
        </w:rPr>
        <w:t>1H</w:t>
      </w:r>
      <w:r>
        <w:rPr>
          <w:rFonts w:ascii="Calibri" w:cs="Calibri" w:eastAsia="Calibri" w:hAnsi="Calibri"/>
          <w:sz w:val="17"/>
          <w:szCs w:val="17"/>
          <w:color w:val="auto"/>
        </w:rPr>
        <w:t>: The frst half of a calendar year, meaning January 1 through June 30.</w:t>
      </w:r>
    </w:p>
    <w:p>
      <w:pPr>
        <w:spacing w:after="0" w:line="196" w:lineRule="exact"/>
        <w:rPr>
          <w:sz w:val="20"/>
          <w:szCs w:val="20"/>
          <w:color w:val="auto"/>
        </w:rPr>
      </w:pPr>
    </w:p>
    <w:p>
      <w:pPr>
        <w:ind w:left="260"/>
        <w:spacing w:after="0"/>
        <w:rPr>
          <w:sz w:val="20"/>
          <w:szCs w:val="20"/>
          <w:color w:val="auto"/>
        </w:rPr>
      </w:pPr>
      <w:r>
        <w:rPr>
          <w:rFonts w:ascii="Calibri" w:cs="Calibri" w:eastAsia="Calibri" w:hAnsi="Calibri"/>
          <w:sz w:val="17"/>
          <w:szCs w:val="17"/>
          <w:u w:val="single" w:color="auto"/>
          <w:color w:val="auto"/>
        </w:rPr>
        <w:t>2H:</w:t>
      </w:r>
      <w:r>
        <w:rPr>
          <w:rFonts w:ascii="Calibri" w:cs="Calibri" w:eastAsia="Calibri" w:hAnsi="Calibri"/>
          <w:sz w:val="17"/>
          <w:szCs w:val="17"/>
          <w:color w:val="auto"/>
        </w:rPr>
        <w:t xml:space="preserve"> The second half of a calendar year, meaning July 1 through December 31.</w:t>
      </w:r>
    </w:p>
    <w:p>
      <w:pPr>
        <w:spacing w:after="0" w:line="189" w:lineRule="exact"/>
        <w:rPr>
          <w:sz w:val="20"/>
          <w:szCs w:val="20"/>
          <w:color w:val="auto"/>
        </w:rPr>
      </w:pPr>
    </w:p>
    <w:p>
      <w:pPr>
        <w:ind w:left="260" w:right="540"/>
        <w:spacing w:after="0" w:line="234" w:lineRule="auto"/>
        <w:rPr>
          <w:sz w:val="20"/>
          <w:szCs w:val="20"/>
          <w:color w:val="auto"/>
        </w:rPr>
      </w:pPr>
      <w:r>
        <w:rPr>
          <w:rFonts w:ascii="Calibri" w:cs="Calibri" w:eastAsia="Calibri" w:hAnsi="Calibri"/>
          <w:sz w:val="17"/>
          <w:szCs w:val="17"/>
          <w:u w:val="single" w:color="auto"/>
          <w:color w:val="auto"/>
        </w:rPr>
        <w:t>Adjusted Pre-Tax Net Income</w:t>
      </w:r>
      <w:r>
        <w:rPr>
          <w:rFonts w:ascii="Calibri" w:cs="Calibri" w:eastAsia="Calibri" w:hAnsi="Calibri"/>
          <w:sz w:val="17"/>
          <w:szCs w:val="17"/>
          <w:color w:val="auto"/>
        </w:rPr>
        <w:t>: Company's earnings before income taxes, excluding stock-based compensaton expense, unrealized gains/losses on equity investments and expenses relatng to unplanned merger and acquisiton actvity.</w:t>
      </w:r>
    </w:p>
    <w:p>
      <w:pPr>
        <w:spacing w:after="0" w:line="189" w:lineRule="exact"/>
        <w:rPr>
          <w:sz w:val="20"/>
          <w:szCs w:val="20"/>
          <w:color w:val="auto"/>
        </w:rPr>
      </w:pPr>
    </w:p>
    <w:p>
      <w:pPr>
        <w:ind w:left="260" w:right="80"/>
        <w:spacing w:after="0" w:line="234" w:lineRule="auto"/>
        <w:rPr>
          <w:sz w:val="20"/>
          <w:szCs w:val="20"/>
          <w:color w:val="auto"/>
        </w:rPr>
      </w:pPr>
      <w:r>
        <w:rPr>
          <w:rFonts w:ascii="Calibri" w:cs="Calibri" w:eastAsia="Calibri" w:hAnsi="Calibri"/>
          <w:sz w:val="17"/>
          <w:szCs w:val="17"/>
          <w:u w:val="single" w:color="auto"/>
          <w:color w:val="auto"/>
        </w:rPr>
        <w:t>Bonus Payment Date</w:t>
      </w:r>
      <w:r>
        <w:rPr>
          <w:rFonts w:ascii="Calibri" w:cs="Calibri" w:eastAsia="Calibri" w:hAnsi="Calibri"/>
          <w:sz w:val="17"/>
          <w:szCs w:val="17"/>
          <w:color w:val="auto"/>
        </w:rPr>
        <w:t>: The date occurring afer the close of the annual review process as approved by the Board, which date shall be the next scheduled payroll on or afer March 15, 2026, or as otherwise may be determined by the Board.</w:t>
      </w:r>
    </w:p>
    <w:p>
      <w:pPr>
        <w:spacing w:after="0" w:line="200" w:lineRule="exact"/>
        <w:rPr>
          <w:sz w:val="20"/>
          <w:szCs w:val="20"/>
          <w:color w:val="auto"/>
        </w:rPr>
      </w:pPr>
    </w:p>
    <w:p>
      <w:pPr>
        <w:ind w:left="260"/>
        <w:spacing w:after="0" w:line="233" w:lineRule="auto"/>
        <w:rPr>
          <w:sz w:val="20"/>
          <w:szCs w:val="20"/>
          <w:color w:val="auto"/>
        </w:rPr>
      </w:pPr>
      <w:r>
        <w:rPr>
          <w:rFonts w:ascii="Calibri" w:cs="Calibri" w:eastAsia="Calibri" w:hAnsi="Calibri"/>
          <w:sz w:val="17"/>
          <w:szCs w:val="17"/>
          <w:u w:val="single" w:color="auto"/>
          <w:color w:val="auto"/>
        </w:rPr>
        <w:t>Bonus Pool</w:t>
      </w:r>
      <w:r>
        <w:rPr>
          <w:rFonts w:ascii="Calibri" w:cs="Calibri" w:eastAsia="Calibri" w:hAnsi="Calibri"/>
          <w:sz w:val="17"/>
          <w:szCs w:val="17"/>
          <w:color w:val="auto"/>
        </w:rPr>
        <w:t>: The total aggregate target bonus amount of all eligible Partcipants under this Plan as of the end of each half year. For an eligible Partcipant who works for less than entre half year, such Partcipant’s target bonus amount will be prorated based on the number of days worked during the Plan Period divided by the number of days in the half year.</w:t>
      </w:r>
    </w:p>
    <w:p>
      <w:pPr>
        <w:spacing w:after="0" w:line="191" w:lineRule="exact"/>
        <w:rPr>
          <w:sz w:val="20"/>
          <w:szCs w:val="20"/>
          <w:color w:val="auto"/>
        </w:rPr>
      </w:pPr>
    </w:p>
    <w:p>
      <w:pPr>
        <w:ind w:left="260" w:right="160"/>
        <w:spacing w:after="0" w:line="234" w:lineRule="auto"/>
        <w:rPr>
          <w:sz w:val="20"/>
          <w:szCs w:val="20"/>
          <w:color w:val="auto"/>
        </w:rPr>
      </w:pPr>
      <w:r>
        <w:rPr>
          <w:rFonts w:ascii="Calibri" w:cs="Calibri" w:eastAsia="Calibri" w:hAnsi="Calibri"/>
          <w:sz w:val="17"/>
          <w:szCs w:val="17"/>
          <w:u w:val="single" w:color="auto"/>
          <w:color w:val="auto"/>
        </w:rPr>
        <w:t>Good Standing</w:t>
      </w:r>
      <w:r>
        <w:rPr>
          <w:rFonts w:ascii="Calibri" w:cs="Calibri" w:eastAsia="Calibri" w:hAnsi="Calibri"/>
          <w:sz w:val="17"/>
          <w:szCs w:val="17"/>
          <w:color w:val="auto"/>
        </w:rPr>
        <w:t>: This means that you have neither received any writen warnings for misconduct, nor been placed on a performance improvement plan during the Plan Period.</w:t>
      </w:r>
    </w:p>
    <w:p>
      <w:pPr>
        <w:spacing w:after="0" w:line="185" w:lineRule="exact"/>
        <w:rPr>
          <w:sz w:val="20"/>
          <w:szCs w:val="20"/>
          <w:color w:val="auto"/>
        </w:rPr>
      </w:pPr>
    </w:p>
    <w:p>
      <w:pPr>
        <w:ind w:left="260"/>
        <w:spacing w:after="0"/>
        <w:rPr>
          <w:sz w:val="20"/>
          <w:szCs w:val="20"/>
          <w:color w:val="auto"/>
        </w:rPr>
      </w:pPr>
      <w:r>
        <w:rPr>
          <w:rFonts w:ascii="Calibri" w:cs="Calibri" w:eastAsia="Calibri" w:hAnsi="Calibri"/>
          <w:sz w:val="17"/>
          <w:szCs w:val="17"/>
          <w:u w:val="single" w:color="auto"/>
          <w:color w:val="auto"/>
        </w:rPr>
        <w:t>Revenue (GAAP)</w:t>
      </w:r>
      <w:r>
        <w:rPr>
          <w:rFonts w:ascii="Calibri" w:cs="Calibri" w:eastAsia="Calibri" w:hAnsi="Calibri"/>
          <w:sz w:val="17"/>
          <w:szCs w:val="17"/>
          <w:color w:val="auto"/>
        </w:rPr>
        <w:t>: The actual revenue recognized by the Company, as defned by generally accepted accountng principles (GAAP).</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Bonus Target Amount</w:t>
      </w:r>
    </w:p>
    <w:p>
      <w:pPr>
        <w:ind w:right="280"/>
        <w:spacing w:after="0" w:line="233" w:lineRule="auto"/>
        <w:rPr>
          <w:sz w:val="20"/>
          <w:szCs w:val="20"/>
          <w:color w:val="auto"/>
        </w:rPr>
      </w:pPr>
      <w:r>
        <w:rPr>
          <w:rFonts w:ascii="Calibri" w:cs="Calibri" w:eastAsia="Calibri" w:hAnsi="Calibri"/>
          <w:sz w:val="17"/>
          <w:szCs w:val="17"/>
          <w:color w:val="auto"/>
        </w:rPr>
        <w:t>Please refer to your ofer leter, promoton leter, employment contract, or similar documentaton (“Employment Agreement”) for your bonus target, or contact Human Resources.</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Criteria</w:t>
      </w:r>
    </w:p>
    <w:p>
      <w:pPr>
        <w:ind w:right="60"/>
        <w:spacing w:after="0" w:line="239" w:lineRule="auto"/>
        <w:rPr>
          <w:sz w:val="20"/>
          <w:szCs w:val="20"/>
          <w:color w:val="auto"/>
        </w:rPr>
      </w:pPr>
      <w:r>
        <w:rPr>
          <w:rFonts w:ascii="Calibri" w:cs="Calibri" w:eastAsia="Calibri" w:hAnsi="Calibri"/>
          <w:sz w:val="17"/>
          <w:szCs w:val="17"/>
          <w:color w:val="auto"/>
        </w:rPr>
        <w:t>A bonus may be paid to a Partcipant based on factors such as Company performance and contnued employment with the Company in Good Standing through the Bonus Payment Date.</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Plan Components and Weightngs</w:t>
      </w:r>
    </w:p>
    <w:p>
      <w:pPr>
        <w:spacing w:after="0" w:line="233" w:lineRule="auto"/>
        <w:rPr>
          <w:sz w:val="20"/>
          <w:szCs w:val="20"/>
          <w:color w:val="auto"/>
        </w:rPr>
      </w:pPr>
      <w:r>
        <w:rPr>
          <w:rFonts w:ascii="Calibri" w:cs="Calibri" w:eastAsia="Calibri" w:hAnsi="Calibri"/>
          <w:sz w:val="17"/>
          <w:szCs w:val="17"/>
          <w:color w:val="auto"/>
        </w:rPr>
        <w:t>The Plan consists of:</w:t>
      </w:r>
    </w:p>
    <w:p>
      <w:pPr>
        <w:spacing w:after="0" w:line="189" w:lineRule="exact"/>
        <w:rPr>
          <w:sz w:val="20"/>
          <w:szCs w:val="20"/>
          <w:color w:val="auto"/>
        </w:rPr>
      </w:pPr>
    </w:p>
    <w:p>
      <w:pPr>
        <w:ind w:right="340"/>
        <w:spacing w:after="0" w:line="234" w:lineRule="auto"/>
        <w:rPr>
          <w:sz w:val="20"/>
          <w:szCs w:val="20"/>
          <w:color w:val="auto"/>
        </w:rPr>
      </w:pPr>
      <w:r>
        <w:rPr>
          <w:rFonts w:ascii="Calibri" w:cs="Calibri" w:eastAsia="Calibri" w:hAnsi="Calibri"/>
          <w:sz w:val="17"/>
          <w:szCs w:val="17"/>
          <w:i w:val="1"/>
          <w:iCs w:val="1"/>
          <w:color w:val="auto"/>
        </w:rPr>
        <w:t>Financial Metric Component</w:t>
      </w:r>
      <w:r>
        <w:rPr>
          <w:rFonts w:ascii="Calibri" w:cs="Calibri" w:eastAsia="Calibri" w:hAnsi="Calibri"/>
          <w:sz w:val="17"/>
          <w:szCs w:val="17"/>
          <w:color w:val="auto"/>
        </w:rPr>
        <w:t>. The fnancial metric component of a Partcipant’s bonus will be weighted in the aggregate at 100%, and annual atainment will be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measured based on the half-year Company performance targets and weightngs specifed in in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240"/>
          </w:cols>
          <w:pgMar w:left="300" w:top="1130" w:right="359" w:bottom="1440" w:gutter="0" w:footer="0" w:header="0"/>
        </w:sectPr>
      </w:pPr>
    </w:p>
    <w:bookmarkStart w:id="120" w:name="page121"/>
    <w:bookmarkEnd w:id="120"/>
    <w:p>
      <w:pPr>
        <w:ind w:right="40"/>
        <w:spacing w:after="0" w:line="236" w:lineRule="auto"/>
        <w:rPr>
          <w:sz w:val="20"/>
          <w:szCs w:val="20"/>
          <w:color w:val="auto"/>
        </w:rPr>
      </w:pPr>
      <w:r>
        <w:rPr>
          <w:rFonts w:ascii="Calibri" w:cs="Calibri" w:eastAsia="Calibri" w:hAnsi="Calibri"/>
          <w:sz w:val="17"/>
          <w:szCs w:val="17"/>
          <w:i w:val="1"/>
          <w:iCs w:val="1"/>
          <w:color w:val="auto"/>
        </w:rPr>
        <w:t xml:space="preserve">Performance Based Adjustments to the Bonus Pool. </w:t>
      </w:r>
      <w:r>
        <w:rPr>
          <w:rFonts w:ascii="Calibri" w:cs="Calibri" w:eastAsia="Calibri" w:hAnsi="Calibri"/>
          <w:sz w:val="17"/>
          <w:szCs w:val="17"/>
          <w:color w:val="auto"/>
        </w:rPr>
        <w:t>The Adjusted Pre-Tax Net Income metric will be used to determine the half year adjustment to the Bonus Pool</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based on the targets specifed in Exhibit B. Any adjustments to the Bonus Pool amount will be distributed on a prorated basis to all eligible Partcipants based on their respectve bonus target amounts. This adjustment will occur afer the calculaton of the preliminary bonus amount detailed in the “Bonus Calculaton” secton below.</w:t>
      </w:r>
    </w:p>
    <w:p>
      <w:pPr>
        <w:spacing w:after="0" w:line="192" w:lineRule="exact"/>
        <w:rPr>
          <w:sz w:val="20"/>
          <w:szCs w:val="20"/>
          <w:color w:val="auto"/>
        </w:rPr>
      </w:pPr>
    </w:p>
    <w:p>
      <w:pPr>
        <w:ind w:right="80"/>
        <w:spacing w:after="0" w:line="234" w:lineRule="auto"/>
        <w:rPr>
          <w:sz w:val="20"/>
          <w:szCs w:val="20"/>
          <w:color w:val="auto"/>
        </w:rPr>
      </w:pPr>
      <w:r>
        <w:rPr>
          <w:rFonts w:ascii="Calibri" w:cs="Calibri" w:eastAsia="Calibri" w:hAnsi="Calibri"/>
          <w:sz w:val="17"/>
          <w:szCs w:val="17"/>
          <w:color w:val="auto"/>
        </w:rPr>
        <w:t>For example, if the Bonus Pool is $600k for 1H and a Partcipant has a $60,000 target bonus, the Partcipant’s preliminary bonus amount will be subject to 10.0% of any adjustment, positve or negatve, to the Bonus Pool.</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color w:val="auto"/>
        </w:rPr>
        <w:t>For each component of the Plan, a 50% weightng will apply to 1H and a 50% weightng will apply to 2H.</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Minimum Achievement</w:t>
      </w:r>
    </w:p>
    <w:p>
      <w:pPr>
        <w:spacing w:after="0" w:line="9" w:lineRule="exact"/>
        <w:rPr>
          <w:sz w:val="20"/>
          <w:szCs w:val="20"/>
          <w:color w:val="auto"/>
        </w:rPr>
      </w:pPr>
    </w:p>
    <w:p>
      <w:pPr>
        <w:ind w:right="420"/>
        <w:spacing w:after="0" w:line="234" w:lineRule="auto"/>
        <w:rPr>
          <w:sz w:val="20"/>
          <w:szCs w:val="20"/>
          <w:color w:val="auto"/>
        </w:rPr>
      </w:pPr>
      <w:r>
        <w:rPr>
          <w:rFonts w:ascii="Calibri" w:cs="Calibri" w:eastAsia="Calibri" w:hAnsi="Calibri"/>
          <w:sz w:val="17"/>
          <w:szCs w:val="17"/>
          <w:color w:val="auto"/>
        </w:rPr>
        <w:t>In order for any bonus payout to be earned for the year, the Financial Metric Component in the aggregate for the year must equal or exceed 80% of the target specifed in Exhibit A hereto, prior to applying any multpliers.</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Multpliers</w:t>
      </w:r>
    </w:p>
    <w:p>
      <w:pPr>
        <w:spacing w:after="0" w:line="79" w:lineRule="exact"/>
        <w:rPr>
          <w:sz w:val="20"/>
          <w:szCs w:val="20"/>
          <w:color w:val="auto"/>
        </w:rPr>
      </w:pPr>
    </w:p>
    <w:p>
      <w:pPr>
        <w:spacing w:after="0"/>
        <w:rPr>
          <w:sz w:val="20"/>
          <w:szCs w:val="20"/>
          <w:color w:val="auto"/>
        </w:rPr>
      </w:pPr>
      <w:r>
        <w:rPr>
          <w:rFonts w:ascii="Calibri" w:cs="Calibri" w:eastAsia="Calibri" w:hAnsi="Calibri"/>
          <w:sz w:val="17"/>
          <w:szCs w:val="17"/>
          <w:color w:val="auto"/>
        </w:rPr>
        <w:t>Multpliers will be applied to achievement on fnancial metrics based on Company performance for each half-year.</w:t>
      </w:r>
    </w:p>
    <w:p>
      <w:pPr>
        <w:spacing w:after="0" w:line="79"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The resultng percentage achievement, as applicable, </w:t>
      </w:r>
      <w:r>
        <w:rPr>
          <w:rFonts w:ascii="Calibri" w:cs="Calibri" w:eastAsia="Calibri" w:hAnsi="Calibri"/>
          <w:sz w:val="14"/>
          <w:szCs w:val="14"/>
          <w:color w:val="auto"/>
        </w:rPr>
        <w:t>will</w:t>
      </w:r>
      <w:r>
        <w:rPr>
          <w:rFonts w:ascii="Calibri" w:cs="Calibri" w:eastAsia="Calibri" w:hAnsi="Calibri"/>
          <w:sz w:val="17"/>
          <w:szCs w:val="17"/>
          <w:color w:val="auto"/>
        </w:rPr>
        <w:t xml:space="preserve"> factor into the Partcipant’s bonus payout for the year per the table below.</w:t>
      </w:r>
    </w:p>
    <w:p>
      <w:pPr>
        <w:spacing w:after="0" w:line="83" w:lineRule="exact"/>
        <w:rPr>
          <w:sz w:val="20"/>
          <w:szCs w:val="20"/>
          <w:color w:val="auto"/>
        </w:rPr>
      </w:pPr>
    </w:p>
    <w:p>
      <w:pPr>
        <w:spacing w:after="0"/>
        <w:rPr>
          <w:sz w:val="20"/>
          <w:szCs w:val="20"/>
          <w:color w:val="auto"/>
        </w:rPr>
      </w:pPr>
      <w:r>
        <w:rPr>
          <w:rFonts w:ascii="Calibri" w:cs="Calibri" w:eastAsia="Calibri" w:hAnsi="Calibri"/>
          <w:sz w:val="17"/>
          <w:szCs w:val="17"/>
          <w:color w:val="auto"/>
        </w:rPr>
        <w:t>Multpliers are calculated using the square method: multplying the achievement against itself to come up with the fnal achievement. For example, an achievement of 110% would yield an achievement used for end of year calculaton of 121% (110% x 110%= 121%).</w:t>
      </w:r>
    </w:p>
    <w:p>
      <w:pPr>
        <w:spacing w:after="0" w:line="355"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Multplier Table Example</w:t>
      </w:r>
    </w:p>
    <w:p>
      <w:pPr>
        <w:spacing w:after="0" w:line="384" w:lineRule="exact"/>
        <w:rPr>
          <w:sz w:val="20"/>
          <w:szCs w:val="20"/>
          <w:color w:val="auto"/>
        </w:rPr>
      </w:pPr>
    </w:p>
    <w:tbl>
      <w:tblPr>
        <w:tblLayout w:type="fixed"/>
        <w:tblInd w:w="210" w:type="dxa"/>
        <w:tblCellMar>
          <w:top w:w="0" w:type="dxa"/>
          <w:left w:w="0" w:type="dxa"/>
          <w:bottom w:w="0" w:type="dxa"/>
          <w:right w:w="0" w:type="dxa"/>
        </w:tblCellMar>
      </w:tblPr>
      <w:tr>
        <w:trPr>
          <w:trHeight w:val="293"/>
        </w:trPr>
        <w:tc>
          <w:tcPr>
            <w:tcW w:w="3620" w:type="dxa"/>
            <w:vAlign w:val="bottom"/>
            <w:tcBorders>
              <w:top w:val="single" w:sz="8" w:color="auto"/>
              <w:left w:val="single" w:sz="8" w:color="auto"/>
              <w:right w:val="single" w:sz="8" w:color="auto"/>
            </w:tcBorders>
          </w:tcPr>
          <w:p>
            <w:pPr>
              <w:ind w:left="60"/>
              <w:spacing w:after="0"/>
              <w:rPr>
                <w:sz w:val="20"/>
                <w:szCs w:val="20"/>
                <w:color w:val="auto"/>
              </w:rPr>
            </w:pPr>
            <w:r>
              <w:rPr>
                <w:rFonts w:ascii="Calibri" w:cs="Calibri" w:eastAsia="Calibri" w:hAnsi="Calibri"/>
                <w:sz w:val="16"/>
                <w:szCs w:val="16"/>
                <w:color w:val="auto"/>
              </w:rPr>
              <w:t>Achievement in Aggregate</w:t>
            </w:r>
          </w:p>
        </w:tc>
        <w:tc>
          <w:tcPr>
            <w:tcW w:w="3580" w:type="dxa"/>
            <w:vAlign w:val="bottom"/>
            <w:tcBorders>
              <w:top w:val="single" w:sz="8" w:color="auto"/>
              <w:right w:val="single" w:sz="8" w:color="auto"/>
            </w:tcBorders>
          </w:tcPr>
          <w:p>
            <w:pPr>
              <w:jc w:val="right"/>
              <w:ind w:right="2662"/>
              <w:spacing w:after="0"/>
              <w:rPr>
                <w:sz w:val="20"/>
                <w:szCs w:val="20"/>
                <w:color w:val="auto"/>
              </w:rPr>
            </w:pPr>
            <w:r>
              <w:rPr>
                <w:rFonts w:ascii="Calibri" w:cs="Calibri" w:eastAsia="Calibri" w:hAnsi="Calibri"/>
                <w:sz w:val="16"/>
                <w:szCs w:val="16"/>
                <w:color w:val="auto"/>
              </w:rPr>
              <w:t>Multplier</w:t>
            </w:r>
          </w:p>
        </w:tc>
        <w:tc>
          <w:tcPr>
            <w:tcW w:w="3620" w:type="dxa"/>
            <w:vAlign w:val="bottom"/>
            <w:tcBorders>
              <w:top w:val="single" w:sz="8" w:color="auto"/>
              <w:right w:val="single" w:sz="8" w:color="auto"/>
            </w:tcBorders>
          </w:tcPr>
          <w:p>
            <w:pPr>
              <w:jc w:val="right"/>
              <w:ind w:right="1702"/>
              <w:spacing w:after="0"/>
              <w:rPr>
                <w:sz w:val="20"/>
                <w:szCs w:val="20"/>
                <w:color w:val="auto"/>
              </w:rPr>
            </w:pPr>
            <w:r>
              <w:rPr>
                <w:rFonts w:ascii="Calibri" w:cs="Calibri" w:eastAsia="Calibri" w:hAnsi="Calibri"/>
                <w:sz w:val="16"/>
                <w:szCs w:val="16"/>
                <w:color w:val="auto"/>
              </w:rPr>
              <w:t>Final Achievement Result</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r>
        <w:trPr>
          <w:trHeight w:val="273"/>
        </w:trPr>
        <w:tc>
          <w:tcPr>
            <w:tcW w:w="362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6"/>
                <w:szCs w:val="16"/>
                <w:color w:val="auto"/>
              </w:rPr>
              <w:t>80%</w:t>
            </w:r>
          </w:p>
        </w:tc>
        <w:tc>
          <w:tcPr>
            <w:tcW w:w="3580" w:type="dxa"/>
            <w:vAlign w:val="bottom"/>
            <w:tcBorders>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80%</w:t>
            </w:r>
          </w:p>
        </w:tc>
        <w:tc>
          <w:tcPr>
            <w:tcW w:w="3620" w:type="dxa"/>
            <w:vAlign w:val="bottom"/>
            <w:tcBorders>
              <w:right w:val="single" w:sz="8" w:color="auto"/>
            </w:tcBorders>
          </w:tcPr>
          <w:p>
            <w:pPr>
              <w:jc w:val="right"/>
              <w:ind w:right="2862"/>
              <w:spacing w:after="0"/>
              <w:rPr>
                <w:sz w:val="20"/>
                <w:szCs w:val="20"/>
                <w:color w:val="auto"/>
              </w:rPr>
            </w:pPr>
            <w:r>
              <w:rPr>
                <w:rFonts w:ascii="Calibri" w:cs="Calibri" w:eastAsia="Calibri" w:hAnsi="Calibri"/>
                <w:sz w:val="16"/>
                <w:szCs w:val="16"/>
                <w:color w:val="auto"/>
              </w:rPr>
              <w:t>64.0%</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r>
        <w:trPr>
          <w:trHeight w:val="273"/>
        </w:trPr>
        <w:tc>
          <w:tcPr>
            <w:tcW w:w="362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6"/>
                <w:szCs w:val="16"/>
                <w:color w:val="auto"/>
              </w:rPr>
              <w:t>94%</w:t>
            </w:r>
          </w:p>
        </w:tc>
        <w:tc>
          <w:tcPr>
            <w:tcW w:w="3580" w:type="dxa"/>
            <w:vAlign w:val="bottom"/>
            <w:tcBorders>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94%</w:t>
            </w:r>
          </w:p>
        </w:tc>
        <w:tc>
          <w:tcPr>
            <w:tcW w:w="3620" w:type="dxa"/>
            <w:vAlign w:val="bottom"/>
            <w:tcBorders>
              <w:right w:val="single" w:sz="8" w:color="auto"/>
            </w:tcBorders>
          </w:tcPr>
          <w:p>
            <w:pPr>
              <w:jc w:val="right"/>
              <w:ind w:right="2862"/>
              <w:spacing w:after="0"/>
              <w:rPr>
                <w:sz w:val="20"/>
                <w:szCs w:val="20"/>
                <w:color w:val="auto"/>
              </w:rPr>
            </w:pPr>
            <w:r>
              <w:rPr>
                <w:rFonts w:ascii="Calibri" w:cs="Calibri" w:eastAsia="Calibri" w:hAnsi="Calibri"/>
                <w:sz w:val="16"/>
                <w:szCs w:val="16"/>
                <w:color w:val="auto"/>
              </w:rPr>
              <w:t>88.4%</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r>
        <w:trPr>
          <w:trHeight w:val="273"/>
        </w:trPr>
        <w:tc>
          <w:tcPr>
            <w:tcW w:w="362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6"/>
                <w:szCs w:val="16"/>
                <w:color w:val="auto"/>
              </w:rPr>
              <w:t>95%</w:t>
            </w:r>
          </w:p>
        </w:tc>
        <w:tc>
          <w:tcPr>
            <w:tcW w:w="3580" w:type="dxa"/>
            <w:vAlign w:val="bottom"/>
            <w:tcBorders>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95%</w:t>
            </w:r>
          </w:p>
        </w:tc>
        <w:tc>
          <w:tcPr>
            <w:tcW w:w="3620" w:type="dxa"/>
            <w:vAlign w:val="bottom"/>
            <w:tcBorders>
              <w:right w:val="single" w:sz="8" w:color="auto"/>
            </w:tcBorders>
          </w:tcPr>
          <w:p>
            <w:pPr>
              <w:jc w:val="right"/>
              <w:ind w:right="2862"/>
              <w:spacing w:after="0"/>
              <w:rPr>
                <w:sz w:val="20"/>
                <w:szCs w:val="20"/>
                <w:color w:val="auto"/>
              </w:rPr>
            </w:pPr>
            <w:r>
              <w:rPr>
                <w:rFonts w:ascii="Calibri" w:cs="Calibri" w:eastAsia="Calibri" w:hAnsi="Calibri"/>
                <w:sz w:val="16"/>
                <w:szCs w:val="16"/>
                <w:color w:val="auto"/>
              </w:rPr>
              <w:t>90.3%</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260"/>
          </w:cols>
          <w:pgMar w:left="300" w:top="1325" w:right="339" w:bottom="1440" w:gutter="0" w:footer="0" w:header="0"/>
        </w:sectPr>
      </w:pPr>
    </w:p>
    <w:bookmarkStart w:id="121" w:name="page122"/>
    <w:bookmarkEnd w:id="121"/>
    <w:tbl>
      <w:tblPr>
        <w:tblLayout w:type="fixed"/>
        <w:tblInd w:w="210" w:type="dxa"/>
        <w:tblCellMar>
          <w:top w:w="0" w:type="dxa"/>
          <w:left w:w="0" w:type="dxa"/>
          <w:bottom w:w="0" w:type="dxa"/>
          <w:right w:w="0" w:type="dxa"/>
        </w:tblCellMar>
      </w:tblPr>
      <w:tr>
        <w:trPr>
          <w:trHeight w:val="293"/>
        </w:trPr>
        <w:tc>
          <w:tcPr>
            <w:tcW w:w="3620" w:type="dxa"/>
            <w:vAlign w:val="bottom"/>
            <w:tcBorders>
              <w:top w:val="single" w:sz="8" w:color="auto"/>
              <w:left w:val="single" w:sz="8" w:color="auto"/>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100%</w:t>
            </w:r>
          </w:p>
        </w:tc>
        <w:tc>
          <w:tcPr>
            <w:tcW w:w="3580" w:type="dxa"/>
            <w:vAlign w:val="bottom"/>
            <w:tcBorders>
              <w:top w:val="single" w:sz="8" w:color="auto"/>
              <w:right w:val="single" w:sz="8" w:color="auto"/>
            </w:tcBorders>
          </w:tcPr>
          <w:p>
            <w:pPr>
              <w:jc w:val="right"/>
              <w:ind w:right="3042"/>
              <w:spacing w:after="0"/>
              <w:rPr>
                <w:sz w:val="20"/>
                <w:szCs w:val="20"/>
                <w:color w:val="auto"/>
              </w:rPr>
            </w:pPr>
            <w:r>
              <w:rPr>
                <w:rFonts w:ascii="Calibri" w:cs="Calibri" w:eastAsia="Calibri" w:hAnsi="Calibri"/>
                <w:sz w:val="16"/>
                <w:szCs w:val="16"/>
                <w:color w:val="auto"/>
              </w:rPr>
              <w:t>100%</w:t>
            </w:r>
          </w:p>
        </w:tc>
        <w:tc>
          <w:tcPr>
            <w:tcW w:w="3620" w:type="dxa"/>
            <w:vAlign w:val="bottom"/>
            <w:tcBorders>
              <w:top w:val="single" w:sz="8" w:color="auto"/>
              <w:right w:val="single" w:sz="8" w:color="auto"/>
            </w:tcBorders>
          </w:tcPr>
          <w:p>
            <w:pPr>
              <w:jc w:val="right"/>
              <w:ind w:right="2782"/>
              <w:spacing w:after="0"/>
              <w:rPr>
                <w:sz w:val="20"/>
                <w:szCs w:val="20"/>
                <w:color w:val="auto"/>
              </w:rPr>
            </w:pPr>
            <w:r>
              <w:rPr>
                <w:rFonts w:ascii="Calibri" w:cs="Calibri" w:eastAsia="Calibri" w:hAnsi="Calibri"/>
                <w:sz w:val="16"/>
                <w:szCs w:val="16"/>
                <w:color w:val="auto"/>
              </w:rPr>
              <w:t>100.0%</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r>
        <w:trPr>
          <w:trHeight w:val="273"/>
        </w:trPr>
        <w:tc>
          <w:tcPr>
            <w:tcW w:w="3620" w:type="dxa"/>
            <w:vAlign w:val="bottom"/>
            <w:tcBorders>
              <w:left w:val="single" w:sz="8" w:color="auto"/>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110%</w:t>
            </w:r>
          </w:p>
        </w:tc>
        <w:tc>
          <w:tcPr>
            <w:tcW w:w="3580" w:type="dxa"/>
            <w:vAlign w:val="bottom"/>
            <w:tcBorders>
              <w:right w:val="single" w:sz="8" w:color="auto"/>
            </w:tcBorders>
          </w:tcPr>
          <w:p>
            <w:pPr>
              <w:jc w:val="right"/>
              <w:ind w:right="3042"/>
              <w:spacing w:after="0"/>
              <w:rPr>
                <w:sz w:val="20"/>
                <w:szCs w:val="20"/>
                <w:color w:val="auto"/>
              </w:rPr>
            </w:pPr>
            <w:r>
              <w:rPr>
                <w:rFonts w:ascii="Calibri" w:cs="Calibri" w:eastAsia="Calibri" w:hAnsi="Calibri"/>
                <w:sz w:val="16"/>
                <w:szCs w:val="16"/>
                <w:color w:val="auto"/>
              </w:rPr>
              <w:t>110%</w:t>
            </w:r>
          </w:p>
        </w:tc>
        <w:tc>
          <w:tcPr>
            <w:tcW w:w="3620" w:type="dxa"/>
            <w:vAlign w:val="bottom"/>
            <w:tcBorders>
              <w:right w:val="single" w:sz="8" w:color="auto"/>
            </w:tcBorders>
          </w:tcPr>
          <w:p>
            <w:pPr>
              <w:jc w:val="right"/>
              <w:ind w:right="2782"/>
              <w:spacing w:after="0"/>
              <w:rPr>
                <w:sz w:val="20"/>
                <w:szCs w:val="20"/>
                <w:color w:val="auto"/>
              </w:rPr>
            </w:pPr>
            <w:r>
              <w:rPr>
                <w:rFonts w:ascii="Calibri" w:cs="Calibri" w:eastAsia="Calibri" w:hAnsi="Calibri"/>
                <w:sz w:val="16"/>
                <w:szCs w:val="16"/>
                <w:color w:val="auto"/>
              </w:rPr>
              <w:t>121.0%</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r>
        <w:trPr>
          <w:trHeight w:val="273"/>
        </w:trPr>
        <w:tc>
          <w:tcPr>
            <w:tcW w:w="3620" w:type="dxa"/>
            <w:vAlign w:val="bottom"/>
            <w:tcBorders>
              <w:left w:val="single" w:sz="8" w:color="auto"/>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134%</w:t>
            </w:r>
          </w:p>
        </w:tc>
        <w:tc>
          <w:tcPr>
            <w:tcW w:w="3580" w:type="dxa"/>
            <w:vAlign w:val="bottom"/>
            <w:tcBorders>
              <w:right w:val="single" w:sz="8" w:color="auto"/>
            </w:tcBorders>
          </w:tcPr>
          <w:p>
            <w:pPr>
              <w:jc w:val="right"/>
              <w:ind w:right="3042"/>
              <w:spacing w:after="0"/>
              <w:rPr>
                <w:sz w:val="20"/>
                <w:szCs w:val="20"/>
                <w:color w:val="auto"/>
              </w:rPr>
            </w:pPr>
            <w:r>
              <w:rPr>
                <w:rFonts w:ascii="Calibri" w:cs="Calibri" w:eastAsia="Calibri" w:hAnsi="Calibri"/>
                <w:sz w:val="16"/>
                <w:szCs w:val="16"/>
                <w:color w:val="auto"/>
              </w:rPr>
              <w:t>134%</w:t>
            </w:r>
          </w:p>
        </w:tc>
        <w:tc>
          <w:tcPr>
            <w:tcW w:w="3620" w:type="dxa"/>
            <w:vAlign w:val="bottom"/>
            <w:tcBorders>
              <w:right w:val="single" w:sz="8" w:color="auto"/>
            </w:tcBorders>
          </w:tcPr>
          <w:p>
            <w:pPr>
              <w:jc w:val="right"/>
              <w:ind w:right="2782"/>
              <w:spacing w:after="0"/>
              <w:rPr>
                <w:sz w:val="20"/>
                <w:szCs w:val="20"/>
                <w:color w:val="auto"/>
              </w:rPr>
            </w:pPr>
            <w:r>
              <w:rPr>
                <w:rFonts w:ascii="Calibri" w:cs="Calibri" w:eastAsia="Calibri" w:hAnsi="Calibri"/>
                <w:sz w:val="16"/>
                <w:szCs w:val="16"/>
                <w:color w:val="auto"/>
              </w:rPr>
              <w:t>179.6%</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r>
        <w:trPr>
          <w:trHeight w:val="273"/>
        </w:trPr>
        <w:tc>
          <w:tcPr>
            <w:tcW w:w="3620" w:type="dxa"/>
            <w:vAlign w:val="bottom"/>
            <w:tcBorders>
              <w:left w:val="single" w:sz="8" w:color="auto"/>
              <w:right w:val="single" w:sz="8" w:color="auto"/>
            </w:tcBorders>
          </w:tcPr>
          <w:p>
            <w:pPr>
              <w:jc w:val="right"/>
              <w:ind w:right="3122"/>
              <w:spacing w:after="0"/>
              <w:rPr>
                <w:sz w:val="20"/>
                <w:szCs w:val="20"/>
                <w:color w:val="auto"/>
              </w:rPr>
            </w:pPr>
            <w:r>
              <w:rPr>
                <w:rFonts w:ascii="Calibri" w:cs="Calibri" w:eastAsia="Calibri" w:hAnsi="Calibri"/>
                <w:sz w:val="16"/>
                <w:szCs w:val="16"/>
                <w:color w:val="auto"/>
              </w:rPr>
              <w:t>185%</w:t>
            </w:r>
          </w:p>
        </w:tc>
        <w:tc>
          <w:tcPr>
            <w:tcW w:w="3580" w:type="dxa"/>
            <w:vAlign w:val="bottom"/>
            <w:tcBorders>
              <w:right w:val="single" w:sz="8" w:color="auto"/>
            </w:tcBorders>
          </w:tcPr>
          <w:p>
            <w:pPr>
              <w:jc w:val="right"/>
              <w:ind w:right="3042"/>
              <w:spacing w:after="0"/>
              <w:rPr>
                <w:sz w:val="20"/>
                <w:szCs w:val="20"/>
                <w:color w:val="auto"/>
              </w:rPr>
            </w:pPr>
            <w:r>
              <w:rPr>
                <w:rFonts w:ascii="Calibri" w:cs="Calibri" w:eastAsia="Calibri" w:hAnsi="Calibri"/>
                <w:sz w:val="16"/>
                <w:szCs w:val="16"/>
                <w:color w:val="auto"/>
              </w:rPr>
              <w:t>185%</w:t>
            </w:r>
          </w:p>
        </w:tc>
        <w:tc>
          <w:tcPr>
            <w:tcW w:w="3620" w:type="dxa"/>
            <w:vAlign w:val="bottom"/>
            <w:tcBorders>
              <w:right w:val="single" w:sz="8" w:color="auto"/>
            </w:tcBorders>
          </w:tcPr>
          <w:p>
            <w:pPr>
              <w:jc w:val="right"/>
              <w:ind w:right="2782"/>
              <w:spacing w:after="0"/>
              <w:rPr>
                <w:sz w:val="20"/>
                <w:szCs w:val="20"/>
                <w:color w:val="auto"/>
              </w:rPr>
            </w:pPr>
            <w:r>
              <w:rPr>
                <w:rFonts w:ascii="Calibri" w:cs="Calibri" w:eastAsia="Calibri" w:hAnsi="Calibri"/>
                <w:sz w:val="16"/>
                <w:szCs w:val="16"/>
                <w:color w:val="auto"/>
              </w:rPr>
              <w:t>342.3%</w:t>
            </w:r>
          </w:p>
        </w:tc>
      </w:tr>
      <w:tr>
        <w:trPr>
          <w:trHeight w:val="142"/>
        </w:trPr>
        <w:tc>
          <w:tcPr>
            <w:tcW w:w="362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Bonus Calculaton</w:t>
      </w:r>
    </w:p>
    <w:p>
      <w:pPr>
        <w:spacing w:after="0" w:line="233" w:lineRule="auto"/>
        <w:rPr>
          <w:sz w:val="20"/>
          <w:szCs w:val="20"/>
          <w:color w:val="auto"/>
        </w:rPr>
      </w:pPr>
      <w:r>
        <w:rPr>
          <w:rFonts w:ascii="Calibri" w:cs="Calibri" w:eastAsia="Calibri" w:hAnsi="Calibri"/>
          <w:sz w:val="17"/>
          <w:szCs w:val="17"/>
          <w:color w:val="auto"/>
        </w:rPr>
        <w:t>The bonus calculaton for each year is a two-step process. Bonus calculatons are prorated for days worked in the Plan Period, subject to applicable law.</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Steps</w:t>
      </w:r>
    </w:p>
    <w:p>
      <w:pPr>
        <w:spacing w:after="0" w:line="168" w:lineRule="exact"/>
        <w:rPr>
          <w:sz w:val="20"/>
          <w:szCs w:val="20"/>
          <w:color w:val="auto"/>
        </w:rPr>
      </w:pPr>
    </w:p>
    <w:p>
      <w:pPr>
        <w:ind w:left="260" w:right="500" w:hanging="255"/>
        <w:spacing w:after="0" w:line="234" w:lineRule="auto"/>
        <w:tabs>
          <w:tab w:leader="none" w:pos="251"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The fnancial metrics are calculated. If the weighted average is over the minimum achievement of 80% specifed above, multpliers will be applied to the fnancial metric, which will be used to calculate the preliminary bonus amount.</w:t>
      </w:r>
    </w:p>
    <w:p>
      <w:pPr>
        <w:spacing w:after="0" w:line="178" w:lineRule="exact"/>
        <w:rPr>
          <w:rFonts w:ascii="Calibri" w:cs="Calibri" w:eastAsia="Calibri" w:hAnsi="Calibri"/>
          <w:sz w:val="17"/>
          <w:szCs w:val="17"/>
          <w:color w:val="auto"/>
        </w:rPr>
      </w:pPr>
    </w:p>
    <w:p>
      <w:pPr>
        <w:ind w:left="260" w:hanging="255"/>
        <w:spacing w:after="0" w:line="252" w:lineRule="auto"/>
        <w:tabs>
          <w:tab w:leader="none" w:pos="251" w:val="left"/>
        </w:tabs>
        <w:numPr>
          <w:ilvl w:val="0"/>
          <w:numId w:val="31"/>
        </w:numPr>
        <w:rPr>
          <w:rFonts w:ascii="Calibri" w:cs="Calibri" w:eastAsia="Calibri" w:hAnsi="Calibri"/>
          <w:sz w:val="16"/>
          <w:szCs w:val="16"/>
          <w:color w:val="auto"/>
        </w:rPr>
      </w:pPr>
      <w:r>
        <w:rPr>
          <w:rFonts w:ascii="Calibri" w:cs="Calibri" w:eastAsia="Calibri" w:hAnsi="Calibri"/>
          <w:sz w:val="16"/>
          <w:szCs w:val="16"/>
          <w:color w:val="auto"/>
        </w:rPr>
        <w:t>For every $1 above the Adjusted Pre-Tax Net Income target specifed in Exhibit B hereto, [***] cents will be added to the Bonus Pool for 1H. For every $1 below the Adjusted Pre-Tax Net Income Target, [***] cents will be removed from the Bonus Pool for 1H (this amount will be revised as part of the 2H planning process). Any adjustments to the Bonus Pool will be applied on a prorated basis to the preliminary bonus amount and a fnal bonus amount will be calculated.</w:t>
      </w:r>
    </w:p>
    <w:p>
      <w:pPr>
        <w:spacing w:after="0" w:line="159" w:lineRule="exact"/>
        <w:rPr>
          <w:sz w:val="20"/>
          <w:szCs w:val="20"/>
          <w:color w:val="auto"/>
        </w:rPr>
      </w:pPr>
    </w:p>
    <w:p>
      <w:pPr>
        <w:ind w:right="140"/>
        <w:spacing w:after="0" w:line="234" w:lineRule="auto"/>
        <w:rPr>
          <w:sz w:val="20"/>
          <w:szCs w:val="20"/>
          <w:color w:val="auto"/>
        </w:rPr>
      </w:pPr>
      <w:r>
        <w:rPr>
          <w:rFonts w:ascii="Calibri" w:cs="Calibri" w:eastAsia="Calibri" w:hAnsi="Calibri"/>
          <w:sz w:val="17"/>
          <w:szCs w:val="17"/>
          <w:color w:val="auto"/>
        </w:rPr>
        <w:t>Bonus calculaton for each Partcipant, including any Bonus Pool adjustment, for each half is capped at 250% of the Partcipant’s target bonus. Bonus payouts are then prorated based on the number of days worked during the Plan Period divided by the number of days in Plan Period.</w:t>
      </w:r>
    </w:p>
    <w:p>
      <w:pPr>
        <w:spacing w:after="0" w:line="175"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auto"/>
        </w:rPr>
        <w:t>Bonus Calculaton Example:</w:t>
      </w:r>
    </w:p>
    <w:p>
      <w:pPr>
        <w:spacing w:after="0" w:line="164" w:lineRule="exact"/>
        <w:rPr>
          <w:sz w:val="20"/>
          <w:szCs w:val="20"/>
          <w:color w:val="auto"/>
        </w:rPr>
      </w:pPr>
    </w:p>
    <w:p>
      <w:pPr>
        <w:ind w:left="160"/>
        <w:spacing w:after="0"/>
        <w:rPr>
          <w:sz w:val="20"/>
          <w:szCs w:val="20"/>
          <w:color w:val="auto"/>
        </w:rPr>
      </w:pPr>
      <w:r>
        <w:rPr>
          <w:rFonts w:ascii="Calibri" w:cs="Calibri" w:eastAsia="Calibri" w:hAnsi="Calibri"/>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180"/>
          </w:cols>
          <w:pgMar w:left="300" w:top="1159" w:right="419" w:bottom="1440" w:gutter="0" w:footer="0" w:header="0"/>
        </w:sectPr>
      </w:pPr>
    </w:p>
    <w:bookmarkStart w:id="122" w:name="page123"/>
    <w:bookmarkEnd w:id="122"/>
    <w:p>
      <w:pPr>
        <w:spacing w:after="0"/>
        <w:rPr>
          <w:sz w:val="20"/>
          <w:szCs w:val="20"/>
          <w:color w:val="auto"/>
        </w:rPr>
      </w:pPr>
      <w:r>
        <w:rPr>
          <w:rFonts w:ascii="Calibri" w:cs="Calibri" w:eastAsia="Calibri" w:hAnsi="Calibri"/>
          <w:sz w:val="17"/>
          <w:szCs w:val="17"/>
          <w:b w:val="1"/>
          <w:bCs w:val="1"/>
          <w:color w:val="auto"/>
        </w:rPr>
        <w:t>Reductons During Company-Approved Leaves of Absence</w:t>
      </w:r>
    </w:p>
    <w:p>
      <w:pPr>
        <w:spacing w:after="0" w:line="168"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 xml:space="preserve">If a Partcipant goes on a Company-approved leave of absence, the Company may reduce the Partcipant’s bonus target on a pro-rated basis, to the extent permited by law. This pro-rata reducton will </w:t>
      </w:r>
      <w:r>
        <w:rPr>
          <w:rFonts w:ascii="Calibri" w:cs="Calibri" w:eastAsia="Calibri" w:hAnsi="Calibri"/>
          <w:sz w:val="17"/>
          <w:szCs w:val="17"/>
          <w:i w:val="1"/>
          <w:iCs w:val="1"/>
          <w:color w:val="auto"/>
        </w:rPr>
        <w:t>not</w:t>
      </w:r>
      <w:r>
        <w:rPr>
          <w:rFonts w:ascii="Calibri" w:cs="Calibri" w:eastAsia="Calibri" w:hAnsi="Calibri"/>
          <w:sz w:val="17"/>
          <w:szCs w:val="17"/>
          <w:color w:val="auto"/>
        </w:rPr>
        <w:t xml:space="preserve"> apply during the frst four weeks of any Company-approved and </w:t>
      </w:r>
      <w:r>
        <w:rPr>
          <w:rFonts w:ascii="Calibri" w:cs="Calibri" w:eastAsia="Calibri" w:hAnsi="Calibri"/>
          <w:sz w:val="17"/>
          <w:szCs w:val="17"/>
          <w:i w:val="1"/>
          <w:iCs w:val="1"/>
          <w:color w:val="auto"/>
        </w:rPr>
        <w:t>paid</w:t>
      </w:r>
      <w:r>
        <w:rPr>
          <w:rFonts w:ascii="Calibri" w:cs="Calibri" w:eastAsia="Calibri" w:hAnsi="Calibri"/>
          <w:sz w:val="17"/>
          <w:szCs w:val="17"/>
          <w:color w:val="auto"/>
        </w:rPr>
        <w:t xml:space="preserve"> leave of absence, or during the frst 12 weeks of any maternity leave. This pause in the reducton of a bonus target is referred to as a “Paid Leave Bonus Credit”.</w:t>
      </w:r>
    </w:p>
    <w:p>
      <w:pPr>
        <w:spacing w:after="0" w:line="85" w:lineRule="exact"/>
        <w:rPr>
          <w:sz w:val="20"/>
          <w:szCs w:val="20"/>
          <w:color w:val="auto"/>
        </w:rPr>
      </w:pPr>
    </w:p>
    <w:p>
      <w:pPr>
        <w:ind w:right="160"/>
        <w:spacing w:after="0" w:line="239" w:lineRule="auto"/>
        <w:rPr>
          <w:sz w:val="20"/>
          <w:szCs w:val="20"/>
          <w:color w:val="auto"/>
        </w:rPr>
      </w:pPr>
      <w:r>
        <w:rPr>
          <w:rFonts w:ascii="Calibri" w:cs="Calibri" w:eastAsia="Calibri" w:hAnsi="Calibri"/>
          <w:sz w:val="17"/>
          <w:szCs w:val="17"/>
          <w:color w:val="auto"/>
        </w:rPr>
        <w:t xml:space="preserve">A Partcipant is enttled to only one Paid Leave Bonus Credit per Plan Year. Where a single leave of absence extends from one Plan Year to the next, the Partcipant may not apply a new Paid Leave Bonus Credit to the </w:t>
      </w:r>
      <w:r>
        <w:rPr>
          <w:rFonts w:ascii="Cambria" w:cs="Cambria" w:eastAsia="Cambria" w:hAnsi="Cambria"/>
          <w:sz w:val="17"/>
          <w:szCs w:val="17"/>
          <w:b w:val="1"/>
          <w:bCs w:val="1"/>
          <w:color w:val="auto"/>
        </w:rPr>
        <w:t>same leave of absence as it passes into the subsequent Plan Year.</w:t>
      </w:r>
      <w:r>
        <w:rPr>
          <w:rFonts w:ascii="Calibri" w:cs="Calibri" w:eastAsia="Calibri" w:hAnsi="Calibri"/>
          <w:sz w:val="17"/>
          <w:szCs w:val="17"/>
          <w:color w:val="auto"/>
        </w:rPr>
        <w:t xml:space="preserve"> However, the Partcipant will not be precluded from Paid Leave Bonus Credit in the subsequent Plan Year should the Partcipant need to take a second, unrelated leave of absence. Any Paid Leave Bonus Credit during such second leave of absence shall be reduced by the amount of credit previously taken in that same year.</w:t>
      </w:r>
    </w:p>
    <w:p>
      <w:pPr>
        <w:spacing w:after="0" w:line="96" w:lineRule="exact"/>
        <w:rPr>
          <w:sz w:val="20"/>
          <w:szCs w:val="20"/>
          <w:color w:val="auto"/>
        </w:rPr>
      </w:pPr>
    </w:p>
    <w:p>
      <w:pPr>
        <w:ind w:right="320"/>
        <w:spacing w:after="0" w:line="234" w:lineRule="auto"/>
        <w:rPr>
          <w:sz w:val="20"/>
          <w:szCs w:val="20"/>
          <w:color w:val="auto"/>
        </w:rPr>
      </w:pPr>
      <w:r>
        <w:rPr>
          <w:rFonts w:ascii="Calibri" w:cs="Calibri" w:eastAsia="Calibri" w:hAnsi="Calibri"/>
          <w:sz w:val="17"/>
          <w:szCs w:val="17"/>
          <w:color w:val="auto"/>
        </w:rPr>
        <w:t>In the case of intermitent leave, any pro-rata reducton or Paid Leave Bonus Credit will be based on the amount of leave actually taken, not on the span of tme during which intermitent leave occurred.</w:t>
      </w:r>
    </w:p>
    <w:p>
      <w:pPr>
        <w:spacing w:after="0" w:line="35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Standards of Conduct</w:t>
      </w:r>
    </w:p>
    <w:p>
      <w:pPr>
        <w:ind w:right="120"/>
        <w:spacing w:after="0" w:line="233" w:lineRule="auto"/>
        <w:rPr>
          <w:sz w:val="20"/>
          <w:szCs w:val="20"/>
          <w:color w:val="auto"/>
        </w:rPr>
      </w:pPr>
      <w:r>
        <w:rPr>
          <w:rFonts w:ascii="Calibri" w:cs="Calibri" w:eastAsia="Calibri" w:hAnsi="Calibri"/>
          <w:sz w:val="17"/>
          <w:szCs w:val="17"/>
          <w:color w:val="auto"/>
        </w:rPr>
        <w:t>Any violaton of the Company’s policies, including PubMatc’s Code of Business Conduct and Ethics and/or Ant-Bribery Policy, may result in a negatve penalty on eligibility to accrue and/or receive bonuses under this Plan, and may subject the Partcipant to disciplinary acton, up to and including terminaton of employment.</w:t>
      </w:r>
    </w:p>
    <w:p>
      <w:pPr>
        <w:spacing w:after="0" w:line="185" w:lineRule="exact"/>
        <w:rPr>
          <w:sz w:val="20"/>
          <w:szCs w:val="20"/>
          <w:color w:val="auto"/>
        </w:rPr>
      </w:pPr>
    </w:p>
    <w:p>
      <w:pPr>
        <w:spacing w:after="0"/>
        <w:rPr>
          <w:sz w:val="20"/>
          <w:szCs w:val="20"/>
          <w:color w:val="auto"/>
        </w:rPr>
      </w:pPr>
      <w:r>
        <w:rPr>
          <w:rFonts w:ascii="Calibri" w:cs="Calibri" w:eastAsia="Calibri" w:hAnsi="Calibri"/>
          <w:sz w:val="17"/>
          <w:szCs w:val="17"/>
          <w:color w:val="auto"/>
        </w:rPr>
        <w:t>By signing below, Partcipant agrees to abide by any and all Company policies in efect during the Plan Year.</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Partcipants Who Become Ineligible or Who Are Terminated</w:t>
      </w:r>
    </w:p>
    <w:p>
      <w:pPr>
        <w:spacing w:after="0" w:line="233" w:lineRule="auto"/>
        <w:rPr>
          <w:sz w:val="20"/>
          <w:szCs w:val="20"/>
          <w:color w:val="auto"/>
        </w:rPr>
      </w:pPr>
      <w:r>
        <w:rPr>
          <w:rFonts w:ascii="Calibri" w:cs="Calibri" w:eastAsia="Calibri" w:hAnsi="Calibri"/>
          <w:sz w:val="17"/>
          <w:szCs w:val="17"/>
          <w:color w:val="auto"/>
        </w:rPr>
        <w:t>If a Partcipant becomes ineligible to partcipate in the Plan because the Partcipant is transferred into a Company positon that is not eligible to partcipate in this Plan, the Partcipant’s targets under this Plan will be pro-rated according to the last day of work under this Plan immediately prior to the transfer.</w:t>
      </w:r>
    </w:p>
    <w:p>
      <w:pPr>
        <w:spacing w:after="0" w:line="189" w:lineRule="exact"/>
        <w:rPr>
          <w:sz w:val="20"/>
          <w:szCs w:val="20"/>
          <w:color w:val="auto"/>
        </w:rPr>
      </w:pPr>
    </w:p>
    <w:p>
      <w:pPr>
        <w:ind w:right="60"/>
        <w:spacing w:after="0" w:line="235" w:lineRule="auto"/>
        <w:rPr>
          <w:sz w:val="20"/>
          <w:szCs w:val="20"/>
          <w:color w:val="auto"/>
        </w:rPr>
      </w:pPr>
      <w:r>
        <w:rPr>
          <w:rFonts w:ascii="Calibri" w:cs="Calibri" w:eastAsia="Calibri" w:hAnsi="Calibri"/>
          <w:sz w:val="17"/>
          <w:szCs w:val="17"/>
          <w:color w:val="auto"/>
        </w:rPr>
        <w:t>If a Partcipant becomes ineligible to partcipate in the Plan because the Partcipant’s employment with the Company terminates for any reason or the Partcipant is under notce of employment terminaton (whether given or received) prior to the applicable Bonus Payment Date (i.e., by voluntary resignaton, involuntary terminaton, or death or otherwise), the Partcipant’s eligibility to earn any future bonus under this Plan shall cease on the Partcipant’s fnal day of employment, except to the extent prohibited by applicable law. To be clear, for a Partcipant to earn any bonus under this Plan, the Partcipant must be employed on the Bonus Payment Date, except as prohibited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280"/>
          </w:cols>
          <w:pgMar w:left="300" w:top="1130" w:right="319" w:bottom="1440" w:gutter="0" w:footer="0" w:header="0"/>
        </w:sectPr>
      </w:pPr>
    </w:p>
    <w:bookmarkStart w:id="123" w:name="page124"/>
    <w:bookmarkEnd w:id="123"/>
    <w:p>
      <w:pPr>
        <w:spacing w:after="0"/>
        <w:rPr>
          <w:sz w:val="20"/>
          <w:szCs w:val="20"/>
          <w:color w:val="auto"/>
        </w:rPr>
      </w:pPr>
      <w:r>
        <w:rPr>
          <w:rFonts w:ascii="Calibri" w:cs="Calibri" w:eastAsia="Calibri" w:hAnsi="Calibri"/>
          <w:sz w:val="17"/>
          <w:szCs w:val="17"/>
          <w:b w:val="1"/>
          <w:bCs w:val="1"/>
          <w:color w:val="auto"/>
        </w:rPr>
        <w:t>Overpayment of Bonuses</w:t>
      </w:r>
    </w:p>
    <w:p>
      <w:pPr>
        <w:ind w:right="120"/>
        <w:spacing w:after="0" w:line="235" w:lineRule="auto"/>
        <w:rPr>
          <w:sz w:val="20"/>
          <w:szCs w:val="20"/>
          <w:color w:val="auto"/>
        </w:rPr>
      </w:pPr>
      <w:r>
        <w:rPr>
          <w:rFonts w:ascii="Calibri" w:cs="Calibri" w:eastAsia="Calibri" w:hAnsi="Calibri"/>
          <w:sz w:val="17"/>
          <w:szCs w:val="17"/>
          <w:color w:val="auto"/>
        </w:rPr>
        <w:t>By signing the Plan, the Partcipant agrees to promptly repay the Company for any bonus overpayment made to the Partcipant (e.g., due to miscalculaton, payroll errors), and agrees to authorize the Company to make deductons from the Partcipant’s earned wages and/or future bonus payments under the Plan, to recover any overpayments. In the event the Partcipant and the Company cannot agree on repayment terms, the Company reserves all its legal rights, including its right to initate legal acton to recover the overpayment and/or to deduct the overpayment from the Partcipant’s earned wages (including the Partcipant’s fnal paycheck) in accordance with applicable laws.</w:t>
      </w:r>
    </w:p>
    <w:p>
      <w:pPr>
        <w:spacing w:after="0" w:line="1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Company’s Rights</w:t>
      </w:r>
    </w:p>
    <w:p>
      <w:pPr>
        <w:jc w:val="both"/>
        <w:spacing w:after="0" w:line="237" w:lineRule="auto"/>
        <w:rPr>
          <w:sz w:val="20"/>
          <w:szCs w:val="20"/>
          <w:color w:val="auto"/>
        </w:rPr>
      </w:pPr>
      <w:r>
        <w:rPr>
          <w:rFonts w:ascii="Calibri" w:cs="Calibri" w:eastAsia="Calibri" w:hAnsi="Calibri"/>
          <w:sz w:val="17"/>
          <w:szCs w:val="17"/>
          <w:color w:val="auto"/>
        </w:rPr>
        <w:t>The Company reserves the right to accept and reject customers and proposed agreements with customers, to set and modify prices and discounts, and to otherwise make all decisions with respect to the Company’s business. No bonuses will be earned for any contracts not approved by, or otherwise rejected by, the Company for any reason.</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Plan Administraton</w:t>
      </w:r>
    </w:p>
    <w:p>
      <w:pPr>
        <w:ind w:right="20"/>
        <w:spacing w:after="0" w:line="233" w:lineRule="auto"/>
        <w:rPr>
          <w:sz w:val="20"/>
          <w:szCs w:val="20"/>
          <w:color w:val="auto"/>
        </w:rPr>
      </w:pPr>
      <w:r>
        <w:rPr>
          <w:rFonts w:ascii="Calibri" w:cs="Calibri" w:eastAsia="Calibri" w:hAnsi="Calibri"/>
          <w:sz w:val="17"/>
          <w:szCs w:val="17"/>
          <w:color w:val="auto"/>
        </w:rPr>
        <w:t>This Plan is authorized and administered by the Board, who has sole authority to interpret the Plan and to make or nullify any provision or procedure, as deemed necessary, for proper administraton of the Plan, or a designated commitee of the Board. Unless otherwise prohibited by law, any determinaton by the Board or its designated commitee regarding the Plan or any of its provisions or procedures shall be fnal and binding as to all afected Partcipants.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Plan Changes or Discontnuance</w:t>
      </w:r>
    </w:p>
    <w:p>
      <w:pPr>
        <w:ind w:right="20"/>
        <w:spacing w:after="0" w:line="235" w:lineRule="auto"/>
        <w:rPr>
          <w:sz w:val="20"/>
          <w:szCs w:val="20"/>
          <w:color w:val="auto"/>
        </w:rPr>
      </w:pPr>
      <w:r>
        <w:rPr>
          <w:rFonts w:ascii="Calibri" w:cs="Calibri" w:eastAsia="Calibri" w:hAnsi="Calibri"/>
          <w:sz w:val="17"/>
          <w:szCs w:val="17"/>
          <w:color w:val="auto"/>
        </w:rPr>
        <w:t>Except as limited by applicable law, the Company reserves the right to modify, discontnue, or otherwise change the Plan or any of its provisions at any tme for any reason, including, without limitaton, the right to modify or change a Partcipant’s weightngs, targets/metrics, achievement criteria (including thresholds or caps for specifc target achievement) or bonus payments to account, among other things, for Company fnancial performance, change in market conditons, Company performance as compared to the broader market or industry in which the Company operates, client circumstances that are outside of Partcipant control, non-recurring charges, makegoods or other fnancial factors, as well as a Partcipant’s performance or failure to comply with the Company’s policies or procedures. Any such modifcaton, discontnuance or change shall be made in a writen document and provided to the afected Partcipant or Partcipants.</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At-Will Employment</w:t>
      </w:r>
    </w:p>
    <w:p>
      <w:pPr>
        <w:ind w:right="80"/>
        <w:spacing w:after="0" w:line="237" w:lineRule="auto"/>
        <w:rPr>
          <w:sz w:val="20"/>
          <w:szCs w:val="20"/>
          <w:color w:val="auto"/>
        </w:rPr>
      </w:pPr>
      <w:r>
        <w:rPr>
          <w:rFonts w:ascii="Calibri" w:cs="Calibri" w:eastAsia="Calibri" w:hAnsi="Calibri"/>
          <w:sz w:val="17"/>
          <w:szCs w:val="17"/>
          <w:color w:val="auto"/>
        </w:rPr>
        <w:t>If Partcipant is an at-will employee, nothing in this Plan alters or modifes the at-will nature of a Partcipant’s employment with the Company, and the Partcipant and the Company have the right to terminate the at-will employment relatonship at any tme, with or without notce or cause, except as limited by applicable laws or the Partcipant’s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280"/>
          </w:cols>
          <w:pgMar w:left="300" w:top="1130" w:right="319" w:bottom="1440" w:gutter="0" w:footer="0" w:header="0"/>
        </w:sectPr>
      </w:pPr>
    </w:p>
    <w:bookmarkStart w:id="124" w:name="page125"/>
    <w:bookmarkEnd w:id="124"/>
    <w:p>
      <w:pPr>
        <w:spacing w:after="0"/>
        <w:rPr>
          <w:sz w:val="20"/>
          <w:szCs w:val="20"/>
          <w:color w:val="auto"/>
        </w:rPr>
      </w:pPr>
      <w:r>
        <w:rPr>
          <w:rFonts w:ascii="Calibri" w:cs="Calibri" w:eastAsia="Calibri" w:hAnsi="Calibri"/>
          <w:sz w:val="17"/>
          <w:szCs w:val="17"/>
          <w:b w:val="1"/>
          <w:bCs w:val="1"/>
          <w:color w:val="auto"/>
        </w:rPr>
        <w:t>Governing Law</w:t>
      </w:r>
    </w:p>
    <w:p>
      <w:pPr>
        <w:ind w:right="540"/>
        <w:spacing w:after="0" w:line="233" w:lineRule="auto"/>
        <w:rPr>
          <w:sz w:val="20"/>
          <w:szCs w:val="20"/>
          <w:color w:val="auto"/>
        </w:rPr>
      </w:pPr>
      <w:r>
        <w:rPr>
          <w:rFonts w:ascii="Calibri" w:cs="Calibri" w:eastAsia="Calibri" w:hAnsi="Calibri"/>
          <w:sz w:val="17"/>
          <w:szCs w:val="17"/>
          <w:color w:val="auto"/>
        </w:rPr>
        <w:t>This Plan and all agreements hereunder, including any atachments, schedules, exhibits, and subsequent modifcatons to the Plan, shall be governed by and construed in accordance with the laws of the State of California, USA without giving efect to that body of laws pertaining to confict of laws.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Signature</w:t>
      </w:r>
    </w:p>
    <w:p>
      <w:pPr>
        <w:spacing w:after="0" w:line="235" w:lineRule="auto"/>
        <w:rPr>
          <w:sz w:val="20"/>
          <w:szCs w:val="20"/>
          <w:color w:val="auto"/>
        </w:rPr>
      </w:pPr>
      <w:r>
        <w:rPr>
          <w:rFonts w:ascii="Calibri" w:cs="Calibri" w:eastAsia="Calibri" w:hAnsi="Calibri"/>
          <w:sz w:val="17"/>
          <w:szCs w:val="17"/>
          <w:color w:val="auto"/>
        </w:rPr>
        <w:t>By signing below, you acknowledge that you have carefully read this document and understand its terms. Additonally, you agree that this document contains the entre agreement between you and the Company regarding your partcipaton in a Company bonus plan for the Plan Period, and supersedes any and all other bonus plans or agreements or arrangements you have or may have had with the Company, including any such Company bonus plan covering the Company’s immediately prior fscal year. To be clear, if you do not sign and return this Plan to the Company, you shall not be eligible to contnue to receive bonus payments with regard to the Plan Period under the terms of any such prior bonus plans to which you have been subject.</w:t>
      </w:r>
    </w:p>
    <w:p>
      <w:pPr>
        <w:spacing w:after="0" w:line="192" w:lineRule="exact"/>
        <w:rPr>
          <w:sz w:val="20"/>
          <w:szCs w:val="20"/>
          <w:color w:val="auto"/>
        </w:rPr>
      </w:pPr>
    </w:p>
    <w:p>
      <w:pPr>
        <w:ind w:right="140"/>
        <w:spacing w:after="0" w:line="233" w:lineRule="auto"/>
        <w:rPr>
          <w:sz w:val="20"/>
          <w:szCs w:val="20"/>
          <w:color w:val="auto"/>
        </w:rPr>
      </w:pPr>
      <w:r>
        <w:rPr>
          <w:rFonts w:ascii="Calibri" w:cs="Calibri" w:eastAsia="Calibri" w:hAnsi="Calibri"/>
          <w:sz w:val="17"/>
          <w:szCs w:val="17"/>
          <w:color w:val="auto"/>
        </w:rPr>
        <w:t>If you are signing this document by electronic signature such as Adobe Sign: (i) you agree, and it is your intent, to sign this document and afrmaton by electronic signature such as Adobe Sign and by electronically submitng this document to the Company; (ii) you understand that your signing and submitng this record/document in this fashion is the legal equivalent of having placed your handwriten signature on the submited record/document and this afrmaton; and</w:t>
      </w:r>
    </w:p>
    <w:p>
      <w:pPr>
        <w:spacing w:after="0" w:line="2" w:lineRule="exact"/>
        <w:rPr>
          <w:sz w:val="20"/>
          <w:szCs w:val="20"/>
          <w:color w:val="auto"/>
        </w:rPr>
      </w:pPr>
    </w:p>
    <w:p>
      <w:pPr>
        <w:ind w:right="180" w:firstLine="5"/>
        <w:spacing w:after="0" w:line="233" w:lineRule="auto"/>
        <w:tabs>
          <w:tab w:leader="none" w:pos="258"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you understand and agree that by electronically signing and submitng this record/document in this fashion, you are afrming to the truth of the informaton contained therein.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auto"/>
        </w:rPr>
        <w:t>Partcipant</w:t>
      </w:r>
      <w:r>
        <w:rPr>
          <w:rFonts w:ascii="Calibri" w:cs="Calibri" w:eastAsia="Calibri" w:hAnsi="Calibri"/>
          <w:sz w:val="14"/>
          <w:szCs w:val="14"/>
          <w:color w:val="auto"/>
        </w:rPr>
        <w:t>:</w:t>
      </w:r>
    </w:p>
    <w:p>
      <w:pPr>
        <w:spacing w:after="0" w:line="349" w:lineRule="exact"/>
        <w:rPr>
          <w:sz w:val="20"/>
          <w:szCs w:val="20"/>
          <w:color w:val="auto"/>
        </w:rPr>
      </w:pPr>
    </w:p>
    <w:p>
      <w:pPr>
        <w:spacing w:after="0"/>
        <w:rPr>
          <w:sz w:val="20"/>
          <w:szCs w:val="20"/>
          <w:color w:val="auto"/>
        </w:rPr>
      </w:pPr>
      <w:r>
        <w:rPr>
          <w:rFonts w:ascii="Calibri" w:cs="Calibri" w:eastAsia="Calibri" w:hAnsi="Calibri"/>
          <w:sz w:val="14"/>
          <w:szCs w:val="14"/>
          <w:color w:val="auto"/>
        </w:rPr>
        <w:t>By: ___________________________________________________________</w:t>
      </w:r>
    </w:p>
    <w:p>
      <w:pPr>
        <w:spacing w:after="0" w:line="158" w:lineRule="exact"/>
        <w:rPr>
          <w:sz w:val="20"/>
          <w:szCs w:val="20"/>
          <w:color w:val="auto"/>
        </w:rPr>
      </w:pPr>
    </w:p>
    <w:p>
      <w:pPr>
        <w:spacing w:after="0"/>
        <w:rPr>
          <w:sz w:val="20"/>
          <w:szCs w:val="20"/>
          <w:color w:val="auto"/>
        </w:rPr>
      </w:pPr>
      <w:r>
        <w:rPr>
          <w:rFonts w:ascii="Calibri" w:cs="Calibri" w:eastAsia="Calibri" w:hAnsi="Calibri"/>
          <w:sz w:val="14"/>
          <w:szCs w:val="14"/>
          <w:color w:val="auto"/>
        </w:rPr>
        <w:t>Name: _________________________</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color w:val="auto"/>
        </w:rPr>
        <w:t>Date: ____________________________________________</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17"/>
          <w:szCs w:val="17"/>
          <w:u w:val="single" w:color="auto"/>
          <w:color w:val="auto"/>
        </w:rPr>
        <w:t>PubMatc</w:t>
      </w:r>
      <w:r>
        <w:rPr>
          <w:rFonts w:ascii="Calibri" w:cs="Calibri" w:eastAsia="Calibri" w:hAnsi="Calibri"/>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17"/>
          <w:szCs w:val="17"/>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2098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220980" cy="6985"/>
                    </a:xfrm>
                    <a:prstGeom prst="rect">
                      <a:avLst/>
                    </a:prstGeom>
                    <a:noFill/>
                  </pic:spPr>
                </pic:pic>
              </a:graphicData>
            </a:graphic>
          </wp:anchor>
        </w:drawing>
      </w:r>
    </w:p>
    <w:p>
      <w:pPr>
        <w:spacing w:after="0"/>
        <w:rPr>
          <w:sz w:val="20"/>
          <w:szCs w:val="20"/>
          <w:color w:val="auto"/>
        </w:rPr>
      </w:pPr>
      <w:r>
        <w:rPr>
          <w:rFonts w:ascii="Calibri" w:cs="Calibri" w:eastAsia="Calibri" w:hAnsi="Calibri"/>
          <w:sz w:val="17"/>
          <w:szCs w:val="17"/>
          <w:color w:val="auto"/>
        </w:rPr>
        <w:t>Rajeev Goel, Co-Founder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260"/>
          </w:cols>
          <w:pgMar w:left="300" w:top="1130" w:right="339" w:bottom="1440" w:gutter="0" w:footer="0" w:header="0"/>
        </w:sectPr>
      </w:pPr>
    </w:p>
    <w:bookmarkStart w:id="125" w:name="page126"/>
    <w:bookmarkEnd w:id="125"/>
    <w:p>
      <w:pPr>
        <w:jc w:val="center"/>
        <w:ind w:right="20"/>
        <w:spacing w:after="0"/>
        <w:rPr>
          <w:sz w:val="20"/>
          <w:szCs w:val="20"/>
          <w:color w:val="auto"/>
        </w:rPr>
      </w:pPr>
      <w:r>
        <w:rPr>
          <w:rFonts w:ascii="Calibri" w:cs="Calibri" w:eastAsia="Calibri" w:hAnsi="Calibri"/>
          <w:sz w:val="17"/>
          <w:szCs w:val="17"/>
          <w:b w:val="1"/>
          <w:bCs w:val="1"/>
          <w:color w:val="auto"/>
        </w:rPr>
        <w:t>Exhibit A-- 2025 Company Performance Metric Targets</w:t>
      </w:r>
    </w:p>
    <w:p>
      <w:pPr>
        <w:spacing w:after="0" w:line="189" w:lineRule="exact"/>
        <w:rPr>
          <w:sz w:val="20"/>
          <w:szCs w:val="20"/>
          <w:color w:val="auto"/>
        </w:rPr>
      </w:pPr>
    </w:p>
    <w:p>
      <w:pPr>
        <w:ind w:right="520"/>
        <w:spacing w:after="0" w:line="234" w:lineRule="auto"/>
        <w:rPr>
          <w:sz w:val="20"/>
          <w:szCs w:val="20"/>
          <w:color w:val="auto"/>
        </w:rPr>
      </w:pPr>
      <w:r>
        <w:rPr>
          <w:rFonts w:ascii="Calibri" w:cs="Calibri" w:eastAsia="Calibri" w:hAnsi="Calibri"/>
          <w:sz w:val="17"/>
          <w:szCs w:val="17"/>
          <w:color w:val="auto"/>
        </w:rPr>
        <w:t>(***Portons of this exhibit have been redacted in compliance with Regulaton S-K Item 601(b)(10). The omited informaton is not material and is the type of informaton that the Company customarily and actually treats as private and confdental.)</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840" w:type="dxa"/>
            <w:vAlign w:val="bottom"/>
            <w:tcBorders>
              <w:left w:val="single" w:sz="8" w:color="4F81BD"/>
              <w:right w:val="single" w:sz="8" w:color="4F81BD"/>
            </w:tcBorders>
            <w:shd w:val="clear" w:color="auto" w:fill="4F81BD"/>
          </w:tcPr>
          <w:p>
            <w:pPr>
              <w:ind w:left="60"/>
              <w:spacing w:after="0"/>
              <w:rPr>
                <w:sz w:val="20"/>
                <w:szCs w:val="20"/>
                <w:color w:val="auto"/>
              </w:rPr>
            </w:pPr>
            <w:r>
              <w:rPr>
                <w:rFonts w:ascii="Calibri" w:cs="Calibri" w:eastAsia="Calibri" w:hAnsi="Calibri"/>
                <w:sz w:val="17"/>
                <w:szCs w:val="17"/>
                <w:color w:val="auto"/>
              </w:rPr>
              <w:t>Metric</w:t>
            </w:r>
          </w:p>
        </w:tc>
        <w:tc>
          <w:tcPr>
            <w:tcW w:w="250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17"/>
                <w:szCs w:val="17"/>
                <w:color w:val="auto"/>
                <w:w w:val="99"/>
              </w:rPr>
              <w:t>Weight</w:t>
            </w:r>
          </w:p>
        </w:tc>
        <w:tc>
          <w:tcPr>
            <w:tcW w:w="2560" w:type="dxa"/>
            <w:vAlign w:val="bottom"/>
            <w:tcBorders>
              <w:right w:val="single" w:sz="8" w:color="4F81BD"/>
            </w:tcBorders>
            <w:shd w:val="clear" w:color="auto" w:fill="4F81BD"/>
          </w:tcPr>
          <w:p>
            <w:pPr>
              <w:jc w:val="right"/>
              <w:ind w:right="695"/>
              <w:spacing w:after="0"/>
              <w:rPr>
                <w:sz w:val="20"/>
                <w:szCs w:val="20"/>
                <w:color w:val="auto"/>
              </w:rPr>
            </w:pPr>
            <w:r>
              <w:rPr>
                <w:rFonts w:ascii="Calibri" w:cs="Calibri" w:eastAsia="Calibri" w:hAnsi="Calibri"/>
                <w:sz w:val="17"/>
                <w:szCs w:val="17"/>
                <w:b w:val="1"/>
                <w:bCs w:val="1"/>
                <w:color w:val="auto"/>
              </w:rPr>
              <w:t>1H 2025 Target</w:t>
            </w:r>
          </w:p>
        </w:tc>
        <w:tc>
          <w:tcPr>
            <w:tcW w:w="340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17"/>
                <w:szCs w:val="17"/>
                <w:b w:val="1"/>
                <w:bCs w:val="1"/>
                <w:color w:val="auto"/>
                <w:w w:val="97"/>
              </w:rPr>
              <w:t>2H 2025 Target</w:t>
            </w:r>
          </w:p>
        </w:tc>
      </w:tr>
      <w:tr>
        <w:trPr>
          <w:trHeight w:val="208"/>
        </w:trPr>
        <w:tc>
          <w:tcPr>
            <w:tcW w:w="2840" w:type="dxa"/>
            <w:vAlign w:val="bottom"/>
            <w:tcBorders>
              <w:left w:val="single" w:sz="8" w:color="95B3D7"/>
              <w:bottom w:val="single" w:sz="8" w:color="95B3D7"/>
              <w:right w:val="single" w:sz="8" w:color="95B3D7"/>
            </w:tcBorders>
            <w:shd w:val="clear" w:color="auto" w:fill="DBE5F1"/>
          </w:tcPr>
          <w:p>
            <w:pPr>
              <w:ind w:left="60"/>
              <w:spacing w:after="0" w:line="204" w:lineRule="exact"/>
              <w:rPr>
                <w:sz w:val="20"/>
                <w:szCs w:val="20"/>
                <w:color w:val="auto"/>
              </w:rPr>
            </w:pPr>
            <w:r>
              <w:rPr>
                <w:rFonts w:ascii="Calibri" w:cs="Calibri" w:eastAsia="Calibri" w:hAnsi="Calibri"/>
                <w:sz w:val="17"/>
                <w:szCs w:val="17"/>
                <w:color w:val="auto"/>
              </w:rPr>
              <w:t>Revenue (GAAP)</w:t>
            </w:r>
          </w:p>
        </w:tc>
        <w:tc>
          <w:tcPr>
            <w:tcW w:w="2500" w:type="dxa"/>
            <w:vAlign w:val="bottom"/>
            <w:tcBorders>
              <w:bottom w:val="single" w:sz="8" w:color="95B3D7"/>
              <w:right w:val="single" w:sz="8" w:color="95B3D7"/>
            </w:tcBorders>
            <w:shd w:val="clear" w:color="auto" w:fill="DBE5F1"/>
          </w:tcPr>
          <w:p>
            <w:pPr>
              <w:jc w:val="right"/>
              <w:ind w:right="975"/>
              <w:spacing w:after="0" w:line="204" w:lineRule="exact"/>
              <w:rPr>
                <w:sz w:val="20"/>
                <w:szCs w:val="20"/>
                <w:color w:val="auto"/>
              </w:rPr>
            </w:pPr>
            <w:r>
              <w:rPr>
                <w:rFonts w:ascii="Calibri" w:cs="Calibri" w:eastAsia="Calibri" w:hAnsi="Calibri"/>
                <w:sz w:val="17"/>
                <w:szCs w:val="17"/>
                <w:b w:val="1"/>
                <w:bCs w:val="1"/>
                <w:color w:val="auto"/>
              </w:rPr>
              <w:t>100%</w:t>
            </w:r>
          </w:p>
        </w:tc>
        <w:tc>
          <w:tcPr>
            <w:tcW w:w="2560" w:type="dxa"/>
            <w:vAlign w:val="bottom"/>
            <w:tcBorders>
              <w:bottom w:val="single" w:sz="8" w:color="95B3D7"/>
              <w:right w:val="single" w:sz="8" w:color="95B3D7"/>
            </w:tcBorders>
            <w:shd w:val="clear" w:color="auto" w:fill="DBE5F1"/>
          </w:tcPr>
          <w:p>
            <w:pPr>
              <w:jc w:val="right"/>
              <w:ind w:right="1015"/>
              <w:spacing w:after="0" w:line="204" w:lineRule="exact"/>
              <w:rPr>
                <w:sz w:val="20"/>
                <w:szCs w:val="20"/>
                <w:color w:val="auto"/>
              </w:rPr>
            </w:pPr>
            <w:r>
              <w:rPr>
                <w:rFonts w:ascii="Calibri" w:cs="Calibri" w:eastAsia="Calibri" w:hAnsi="Calibri"/>
                <w:sz w:val="17"/>
                <w:szCs w:val="17"/>
                <w:b w:val="1"/>
                <w:bCs w:val="1"/>
                <w:color w:val="auto"/>
              </w:rPr>
              <w:t>[***]</w:t>
            </w:r>
          </w:p>
        </w:tc>
        <w:tc>
          <w:tcPr>
            <w:tcW w:w="3400" w:type="dxa"/>
            <w:vAlign w:val="bottom"/>
            <w:tcBorders>
              <w:bottom w:val="single" w:sz="8" w:color="95B3D7"/>
              <w:right w:val="single" w:sz="8" w:color="95B3D7"/>
            </w:tcBorders>
            <w:shd w:val="clear" w:color="auto" w:fill="DBE5F1"/>
          </w:tcPr>
          <w:p>
            <w:pPr>
              <w:jc w:val="right"/>
              <w:ind w:right="1455"/>
              <w:spacing w:after="0" w:line="204" w:lineRule="exact"/>
              <w:rPr>
                <w:sz w:val="20"/>
                <w:szCs w:val="20"/>
                <w:color w:val="auto"/>
              </w:rPr>
            </w:pPr>
            <w:r>
              <w:rPr>
                <w:rFonts w:ascii="Calibri" w:cs="Calibri" w:eastAsia="Calibri" w:hAnsi="Calibri"/>
                <w:sz w:val="17"/>
                <w:szCs w:val="17"/>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alibri" w:cs="Calibri" w:eastAsia="Calibri" w:hAnsi="Calibri"/>
          <w:sz w:val="17"/>
          <w:szCs w:val="17"/>
          <w:color w:val="BFBFBF"/>
        </w:rPr>
        <w:t>PubMatc 2025 Executve Bonus Plan</w:t>
      </w:r>
    </w:p>
    <w:p>
      <w:pPr>
        <w:sectPr>
          <w:pgSz w:w="11900" w:h="16838" w:orient="portrait"/>
          <w:cols w:equalWidth="0" w:num="1">
            <w:col w:w="11300"/>
          </w:cols>
          <w:pgMar w:left="300" w:top="1130" w:right="299" w:bottom="1440" w:gutter="0" w:footer="0" w:header="0"/>
        </w:sectPr>
      </w:pPr>
    </w:p>
    <w:bookmarkStart w:id="126" w:name="page127"/>
    <w:bookmarkEnd w:id="126"/>
    <w:p>
      <w:pPr>
        <w:jc w:val="center"/>
        <w:ind w:right="20"/>
        <w:spacing w:after="0"/>
        <w:rPr>
          <w:sz w:val="20"/>
          <w:szCs w:val="20"/>
          <w:color w:val="auto"/>
        </w:rPr>
      </w:pPr>
      <w:r>
        <w:rPr>
          <w:rFonts w:ascii="Calibri" w:cs="Calibri" w:eastAsia="Calibri" w:hAnsi="Calibri"/>
          <w:sz w:val="17"/>
          <w:szCs w:val="17"/>
          <w:b w:val="1"/>
          <w:bCs w:val="1"/>
          <w:color w:val="auto"/>
        </w:rPr>
        <w:t>Exhibit B – FY 2025 Adjusted Pre-Tax Net Income Achievement</w:t>
      </w:r>
    </w:p>
    <w:p>
      <w:pPr>
        <w:spacing w:after="0" w:line="189" w:lineRule="exact"/>
        <w:rPr>
          <w:sz w:val="20"/>
          <w:szCs w:val="20"/>
          <w:color w:val="auto"/>
        </w:rPr>
      </w:pPr>
    </w:p>
    <w:p>
      <w:pPr>
        <w:ind w:right="520"/>
        <w:spacing w:after="0" w:line="234" w:lineRule="auto"/>
        <w:rPr>
          <w:sz w:val="20"/>
          <w:szCs w:val="20"/>
          <w:color w:val="auto"/>
        </w:rPr>
      </w:pPr>
      <w:r>
        <w:rPr>
          <w:rFonts w:ascii="Calibri" w:cs="Calibri" w:eastAsia="Calibri" w:hAnsi="Calibri"/>
          <w:sz w:val="17"/>
          <w:szCs w:val="17"/>
          <w:color w:val="auto"/>
        </w:rPr>
        <w:t>(***Portons of this exhibit have been redacted in compliance with Regulaton S-K Item 601(b)(10). The omited informaton is not material and is the type of informaton that the Company customarily and actually treats as private and confdental.)</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640" w:type="dxa"/>
            <w:vAlign w:val="bottom"/>
            <w:tcBorders>
              <w:left w:val="single" w:sz="8" w:color="4F81BD"/>
              <w:right w:val="single" w:sz="8" w:color="4F81BD"/>
            </w:tcBorders>
            <w:shd w:val="clear" w:color="auto" w:fill="4F81BD"/>
          </w:tcPr>
          <w:p>
            <w:pPr>
              <w:ind w:left="60"/>
              <w:spacing w:after="0"/>
              <w:rPr>
                <w:sz w:val="20"/>
                <w:szCs w:val="20"/>
                <w:color w:val="auto"/>
              </w:rPr>
            </w:pPr>
            <w:r>
              <w:rPr>
                <w:rFonts w:ascii="Calibri" w:cs="Calibri" w:eastAsia="Calibri" w:hAnsi="Calibri"/>
                <w:sz w:val="17"/>
                <w:szCs w:val="17"/>
                <w:color w:val="auto"/>
              </w:rPr>
              <w:t>Metric</w:t>
            </w:r>
          </w:p>
        </w:tc>
        <w:tc>
          <w:tcPr>
            <w:tcW w:w="4380" w:type="dxa"/>
            <w:vAlign w:val="bottom"/>
            <w:tcBorders>
              <w:right w:val="single" w:sz="8" w:color="4F81BD"/>
            </w:tcBorders>
            <w:shd w:val="clear" w:color="auto" w:fill="4F81BD"/>
          </w:tcPr>
          <w:p>
            <w:pPr>
              <w:jc w:val="right"/>
              <w:ind w:right="1595"/>
              <w:spacing w:after="0"/>
              <w:rPr>
                <w:sz w:val="20"/>
                <w:szCs w:val="20"/>
                <w:color w:val="auto"/>
              </w:rPr>
            </w:pPr>
            <w:r>
              <w:rPr>
                <w:rFonts w:ascii="Calibri" w:cs="Calibri" w:eastAsia="Calibri" w:hAnsi="Calibri"/>
                <w:sz w:val="17"/>
                <w:szCs w:val="17"/>
                <w:b w:val="1"/>
                <w:bCs w:val="1"/>
                <w:color w:val="auto"/>
              </w:rPr>
              <w:t>1H 2025 Target</w:t>
            </w:r>
          </w:p>
        </w:tc>
        <w:tc>
          <w:tcPr>
            <w:tcW w:w="428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17"/>
                <w:szCs w:val="17"/>
                <w:b w:val="1"/>
                <w:bCs w:val="1"/>
                <w:color w:val="auto"/>
                <w:w w:val="97"/>
              </w:rPr>
              <w:t>2H 2025 Target</w:t>
            </w:r>
          </w:p>
        </w:tc>
      </w:tr>
      <w:tr>
        <w:trPr>
          <w:trHeight w:val="208"/>
        </w:trPr>
        <w:tc>
          <w:tcPr>
            <w:tcW w:w="2640" w:type="dxa"/>
            <w:vAlign w:val="bottom"/>
            <w:tcBorders>
              <w:left w:val="single" w:sz="8" w:color="95B3D7"/>
              <w:bottom w:val="single" w:sz="8" w:color="95B3D7"/>
              <w:right w:val="single" w:sz="8" w:color="95B3D7"/>
            </w:tcBorders>
            <w:shd w:val="clear" w:color="auto" w:fill="DBE5F1"/>
          </w:tcPr>
          <w:p>
            <w:pPr>
              <w:ind w:left="60"/>
              <w:spacing w:after="0" w:line="204" w:lineRule="exact"/>
              <w:rPr>
                <w:sz w:val="20"/>
                <w:szCs w:val="20"/>
                <w:color w:val="auto"/>
              </w:rPr>
            </w:pPr>
            <w:r>
              <w:rPr>
                <w:rFonts w:ascii="Calibri" w:cs="Calibri" w:eastAsia="Calibri" w:hAnsi="Calibri"/>
                <w:sz w:val="17"/>
                <w:szCs w:val="17"/>
                <w:color w:val="auto"/>
              </w:rPr>
              <w:t>Adjusted Pre-Tax Net Income</w:t>
            </w:r>
          </w:p>
        </w:tc>
        <w:tc>
          <w:tcPr>
            <w:tcW w:w="4380" w:type="dxa"/>
            <w:vAlign w:val="bottom"/>
            <w:tcBorders>
              <w:bottom w:val="single" w:sz="8" w:color="95B3D7"/>
              <w:right w:val="single" w:sz="8" w:color="95B3D7"/>
            </w:tcBorders>
            <w:shd w:val="clear" w:color="auto" w:fill="DBE5F1"/>
          </w:tcPr>
          <w:p>
            <w:pPr>
              <w:jc w:val="right"/>
              <w:ind w:right="1915"/>
              <w:spacing w:after="0" w:line="204" w:lineRule="exact"/>
              <w:rPr>
                <w:sz w:val="20"/>
                <w:szCs w:val="20"/>
                <w:color w:val="auto"/>
              </w:rPr>
            </w:pPr>
            <w:r>
              <w:rPr>
                <w:rFonts w:ascii="Calibri" w:cs="Calibri" w:eastAsia="Calibri" w:hAnsi="Calibri"/>
                <w:sz w:val="17"/>
                <w:szCs w:val="17"/>
                <w:b w:val="1"/>
                <w:bCs w:val="1"/>
                <w:color w:val="auto"/>
              </w:rPr>
              <w:t>[***]</w:t>
            </w:r>
          </w:p>
        </w:tc>
        <w:tc>
          <w:tcPr>
            <w:tcW w:w="4280" w:type="dxa"/>
            <w:vAlign w:val="bottom"/>
            <w:tcBorders>
              <w:bottom w:val="single" w:sz="8" w:color="95B3D7"/>
              <w:right w:val="single" w:sz="8" w:color="95B3D7"/>
            </w:tcBorders>
            <w:shd w:val="clear" w:color="auto" w:fill="DBE5F1"/>
          </w:tcPr>
          <w:p>
            <w:pPr>
              <w:jc w:val="right"/>
              <w:ind w:right="1895"/>
              <w:spacing w:after="0" w:line="204" w:lineRule="exact"/>
              <w:rPr>
                <w:sz w:val="20"/>
                <w:szCs w:val="20"/>
                <w:color w:val="auto"/>
              </w:rPr>
            </w:pPr>
            <w:r>
              <w:rPr>
                <w:rFonts w:ascii="Calibri" w:cs="Calibri" w:eastAsia="Calibri" w:hAnsi="Calibri"/>
                <w:sz w:val="17"/>
                <w:szCs w:val="17"/>
                <w:b w:val="1"/>
                <w:bCs w:val="1"/>
                <w:color w:val="auto"/>
              </w:rPr>
              <w:t>[***]</w:t>
            </w:r>
          </w:p>
        </w:tc>
      </w:tr>
    </w:tbl>
    <w:p>
      <w:pPr>
        <w:sectPr>
          <w:pgSz w:w="11900" w:h="16838" w:orient="portrait"/>
          <w:cols w:equalWidth="0" w:num="1">
            <w:col w:w="11300"/>
          </w:cols>
          <w:pgMar w:left="300" w:top="1321" w:right="29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280" w:type="dxa"/>
            <w:vAlign w:val="bottom"/>
            <w:tcBorders>
              <w:top w:val="single" w:sz="8" w:color="D9D9D9"/>
              <w:left w:val="single" w:sz="8" w:color="D9D9D9"/>
              <w:right w:val="single" w:sz="8" w:color="D9D9D9"/>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Policy Name: Insider Trading Policy</w:t>
            </w:r>
          </w:p>
        </w:tc>
        <w:tc>
          <w:tcPr>
            <w:tcW w:w="6000" w:type="dxa"/>
            <w:vAlign w:val="bottom"/>
            <w:tcBorders>
              <w:top w:val="single" w:sz="8" w:color="D9D9D9"/>
              <w:right w:val="single" w:sz="8" w:color="D9D9D9"/>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Confidential: Internal Use Only</w:t>
            </w:r>
          </w:p>
        </w:tc>
      </w:tr>
      <w:tr>
        <w:trPr>
          <w:trHeight w:val="29"/>
        </w:trPr>
        <w:tc>
          <w:tcPr>
            <w:tcW w:w="5280" w:type="dxa"/>
            <w:vAlign w:val="bottom"/>
            <w:tcBorders>
              <w:left w:val="single" w:sz="8" w:color="D9D9D9"/>
              <w:bottom w:val="single" w:sz="8" w:color="D9D9D9"/>
              <w:right w:val="single" w:sz="8" w:color="D9D9D9"/>
            </w:tcBorders>
          </w:tcPr>
          <w:p>
            <w:pPr>
              <w:spacing w:after="0"/>
              <w:rPr>
                <w:sz w:val="2"/>
                <w:szCs w:val="2"/>
                <w:color w:val="auto"/>
              </w:rPr>
            </w:pPr>
          </w:p>
        </w:tc>
        <w:tc>
          <w:tcPr>
            <w:tcW w:w="6000" w:type="dxa"/>
            <w:vAlign w:val="bottom"/>
            <w:tcBorders>
              <w:bottom w:val="single" w:sz="8" w:color="D9D9D9"/>
              <w:right w:val="single" w:sz="8" w:color="D9D9D9"/>
            </w:tcBorders>
          </w:tcPr>
          <w:p>
            <w:pPr>
              <w:spacing w:after="0"/>
              <w:rPr>
                <w:sz w:val="2"/>
                <w:szCs w:val="2"/>
                <w:color w:val="auto"/>
              </w:rPr>
            </w:pPr>
          </w:p>
        </w:tc>
      </w:tr>
      <w:tr>
        <w:trPr>
          <w:trHeight w:val="192"/>
        </w:trPr>
        <w:tc>
          <w:tcPr>
            <w:tcW w:w="5280" w:type="dxa"/>
            <w:vAlign w:val="bottom"/>
            <w:tcBorders>
              <w:left w:val="single" w:sz="8" w:color="D9D9D9"/>
              <w:right w:val="single" w:sz="8" w:color="D9D9D9"/>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Owner: Chief Financial Officer, General Counsel</w:t>
            </w:r>
          </w:p>
        </w:tc>
        <w:tc>
          <w:tcPr>
            <w:tcW w:w="6000" w:type="dxa"/>
            <w:vAlign w:val="bottom"/>
            <w:tcBorders>
              <w:right w:val="single" w:sz="8" w:color="D9D9D9"/>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Policy applies to: All employees, independent contractors, and the PubMatic Board of</w:t>
            </w:r>
          </w:p>
        </w:tc>
      </w:tr>
      <w:tr>
        <w:trPr>
          <w:trHeight w:val="223"/>
        </w:trPr>
        <w:tc>
          <w:tcPr>
            <w:tcW w:w="5280" w:type="dxa"/>
            <w:vAlign w:val="bottom"/>
            <w:tcBorders>
              <w:left w:val="single" w:sz="8" w:color="D9D9D9"/>
              <w:bottom w:val="single" w:sz="8" w:color="D9D9D9"/>
              <w:right w:val="single" w:sz="8" w:color="D9D9D9"/>
            </w:tcBorders>
          </w:tcPr>
          <w:p>
            <w:pPr>
              <w:spacing w:after="0"/>
              <w:rPr>
                <w:sz w:val="19"/>
                <w:szCs w:val="19"/>
                <w:color w:val="auto"/>
              </w:rPr>
            </w:pPr>
          </w:p>
        </w:tc>
        <w:tc>
          <w:tcPr>
            <w:tcW w:w="6000" w:type="dxa"/>
            <w:vAlign w:val="bottom"/>
            <w:tcBorders>
              <w:bottom w:val="single" w:sz="8" w:color="D9D9D9"/>
              <w:right w:val="single" w:sz="8" w:color="D9D9D9"/>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Directors (collectively, “</w:t>
            </w:r>
            <w:r>
              <w:rPr>
                <w:rFonts w:ascii="Times New Roman" w:cs="Times New Roman" w:eastAsia="Times New Roman" w:hAnsi="Times New Roman"/>
                <w:sz w:val="16"/>
                <w:szCs w:val="16"/>
                <w:b w:val="1"/>
                <w:bCs w:val="1"/>
                <w:i w:val="1"/>
                <w:iCs w:val="1"/>
                <w:color w:val="auto"/>
              </w:rPr>
              <w:t>Service Providers</w:t>
            </w:r>
            <w:r>
              <w:rPr>
                <w:rFonts w:ascii="Times New Roman" w:cs="Times New Roman" w:eastAsia="Times New Roman" w:hAnsi="Times New Roman"/>
                <w:sz w:val="16"/>
                <w:szCs w:val="16"/>
                <w:b w:val="1"/>
                <w:bCs w:val="1"/>
                <w:color w:val="auto"/>
              </w:rPr>
              <w:t>” or “</w:t>
            </w:r>
            <w:r>
              <w:rPr>
                <w:rFonts w:ascii="Times New Roman" w:cs="Times New Roman" w:eastAsia="Times New Roman" w:hAnsi="Times New Roman"/>
                <w:sz w:val="16"/>
                <w:szCs w:val="16"/>
                <w:b w:val="1"/>
                <w:bCs w:val="1"/>
                <w:i w:val="1"/>
                <w:iCs w:val="1"/>
                <w:color w:val="auto"/>
              </w:rPr>
              <w:t>you</w:t>
            </w:r>
            <w:r>
              <w:rPr>
                <w:rFonts w:ascii="Times New Roman" w:cs="Times New Roman" w:eastAsia="Times New Roman" w:hAnsi="Times New Roman"/>
                <w:sz w:val="16"/>
                <w:szCs w:val="16"/>
                <w:b w:val="1"/>
                <w:bCs w:val="1"/>
                <w:color w:val="auto"/>
              </w:rPr>
              <w:t>”)</w:t>
            </w:r>
          </w:p>
        </w:tc>
      </w:tr>
      <w:tr>
        <w:trPr>
          <w:trHeight w:val="205"/>
        </w:trPr>
        <w:tc>
          <w:tcPr>
            <w:tcW w:w="5280" w:type="dxa"/>
            <w:vAlign w:val="bottom"/>
            <w:tcBorders>
              <w:left w:val="single" w:sz="8" w:color="D9D9D9"/>
              <w:right w:val="single" w:sz="8" w:color="D9D9D9"/>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Last Updated: October 29, 2024</w:t>
            </w:r>
          </w:p>
        </w:tc>
        <w:tc>
          <w:tcPr>
            <w:tcW w:w="6000" w:type="dxa"/>
            <w:vAlign w:val="bottom"/>
            <w:tcBorders>
              <w:right w:val="single" w:sz="8" w:color="D9D9D9"/>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PubMatic, Inc. (collectively with its subsidiaries, “</w:t>
            </w:r>
            <w:r>
              <w:rPr>
                <w:rFonts w:ascii="Times New Roman" w:cs="Times New Roman" w:eastAsia="Times New Roman" w:hAnsi="Times New Roman"/>
                <w:sz w:val="16"/>
                <w:szCs w:val="16"/>
                <w:b w:val="1"/>
                <w:bCs w:val="1"/>
                <w:i w:val="1"/>
                <w:iCs w:val="1"/>
                <w:color w:val="auto"/>
              </w:rPr>
              <w:t>PubMatic,</w:t>
            </w: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b w:val="1"/>
                <w:bCs w:val="1"/>
                <w:i w:val="1"/>
                <w:iCs w:val="1"/>
                <w:color w:val="auto"/>
              </w:rPr>
              <w:t>we,</w:t>
            </w: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b w:val="1"/>
                <w:bCs w:val="1"/>
                <w:i w:val="1"/>
                <w:iCs w:val="1"/>
                <w:color w:val="auto"/>
              </w:rPr>
              <w:t>our</w:t>
            </w:r>
            <w:r>
              <w:rPr>
                <w:rFonts w:ascii="Times New Roman" w:cs="Times New Roman" w:eastAsia="Times New Roman" w:hAnsi="Times New Roman"/>
                <w:sz w:val="16"/>
                <w:szCs w:val="16"/>
                <w:b w:val="1"/>
                <w:bCs w:val="1"/>
                <w:color w:val="auto"/>
              </w:rPr>
              <w:t>” or “</w:t>
            </w:r>
            <w:r>
              <w:rPr>
                <w:rFonts w:ascii="Times New Roman" w:cs="Times New Roman" w:eastAsia="Times New Roman" w:hAnsi="Times New Roman"/>
                <w:sz w:val="16"/>
                <w:szCs w:val="16"/>
                <w:b w:val="1"/>
                <w:bCs w:val="1"/>
                <w:i w:val="1"/>
                <w:iCs w:val="1"/>
                <w:color w:val="auto"/>
              </w:rPr>
              <w:t>us</w:t>
            </w:r>
            <w:r>
              <w:rPr>
                <w:rFonts w:ascii="Times New Roman" w:cs="Times New Roman" w:eastAsia="Times New Roman" w:hAnsi="Times New Roman"/>
                <w:sz w:val="16"/>
                <w:szCs w:val="16"/>
                <w:b w:val="1"/>
                <w:bCs w:val="1"/>
                <w:color w:val="auto"/>
              </w:rPr>
              <w:t>”)</w:t>
            </w:r>
          </w:p>
        </w:tc>
      </w:tr>
      <w:tr>
        <w:trPr>
          <w:trHeight w:val="29"/>
        </w:trPr>
        <w:tc>
          <w:tcPr>
            <w:tcW w:w="5280" w:type="dxa"/>
            <w:vAlign w:val="bottom"/>
            <w:tcBorders>
              <w:left w:val="single" w:sz="8" w:color="D9D9D9"/>
              <w:bottom w:val="single" w:sz="8" w:color="D9D9D9"/>
              <w:right w:val="single" w:sz="8" w:color="D9D9D9"/>
            </w:tcBorders>
          </w:tcPr>
          <w:p>
            <w:pPr>
              <w:spacing w:after="0"/>
              <w:rPr>
                <w:sz w:val="2"/>
                <w:szCs w:val="2"/>
                <w:color w:val="auto"/>
              </w:rPr>
            </w:pPr>
          </w:p>
        </w:tc>
        <w:tc>
          <w:tcPr>
            <w:tcW w:w="6000" w:type="dxa"/>
            <w:vAlign w:val="bottom"/>
            <w:tcBorders>
              <w:bottom w:val="single" w:sz="8" w:color="D9D9D9"/>
              <w:right w:val="single" w:sz="8" w:color="D9D9D9"/>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PubMatic is committed to high standards of honest and ethical business conduct and compliance with laws, rules, and regulations. This commitment extends to all activity related to PubMatic’s publicly traded securities.</w:t>
      </w:r>
    </w:p>
    <w:p>
      <w:pPr>
        <w:spacing w:after="0" w:line="12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6"/>
          <w:szCs w:val="16"/>
          <w:color w:val="auto"/>
        </w:rPr>
        <w:t xml:space="preserve">Under this Insider Trading Policy, you are prohibited from trading in PubMatic securities while in possession of </w:t>
      </w:r>
      <w:r>
        <w:rPr>
          <w:rFonts w:ascii="Times New Roman" w:cs="Times New Roman" w:eastAsia="Times New Roman" w:hAnsi="Times New Roman"/>
          <w:sz w:val="16"/>
          <w:szCs w:val="16"/>
          <w:b w:val="1"/>
          <w:bCs w:val="1"/>
          <w:color w:val="auto"/>
        </w:rPr>
        <w:t>material nonpublic information</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about PubMatic. You are further prohibited from giving material nonpublic information about PubMatic or its business partners or suppliers to anyone who might trade on the basis of that information—conduct broadly known as “tipping.”</w:t>
      </w:r>
    </w:p>
    <w:p>
      <w:pPr>
        <w:spacing w:after="0" w:line="14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Capitalized terms are in the list of defined terms at the end of this Policy. You should also refer to the list of FAQs about this Policy following the defined terms. The FAQs are part of this Policy and the rules articulated in the FAQs must be followed as well.</w:t>
      </w:r>
    </w:p>
    <w:p>
      <w:pPr>
        <w:spacing w:after="0" w:line="123"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4"/>
          <w:szCs w:val="14"/>
          <w:color w:val="auto"/>
        </w:rPr>
        <w:t xml:space="preserve">Neither PubMatic nor the Compliance Officer is liable for any act made under this Policy. It is important to remember that this Policy is only designed to reduce the risk of violations for insider trading. Ultimately </w:t>
      </w:r>
      <w:r>
        <w:rPr>
          <w:rFonts w:ascii="Times New Roman" w:cs="Times New Roman" w:eastAsia="Times New Roman" w:hAnsi="Times New Roman"/>
          <w:sz w:val="14"/>
          <w:szCs w:val="14"/>
          <w:i w:val="1"/>
          <w:iCs w:val="1"/>
          <w:color w:val="auto"/>
        </w:rPr>
        <w:t>you</w:t>
      </w:r>
      <w:r>
        <w:rPr>
          <w:rFonts w:ascii="Times New Roman" w:cs="Times New Roman" w:eastAsia="Times New Roman" w:hAnsi="Times New Roman"/>
          <w:sz w:val="14"/>
          <w:szCs w:val="14"/>
          <w:color w:val="auto"/>
        </w:rPr>
        <w:t xml:space="preserve"> are responsible for adhering to this Policy and avoiding improper trading. Any action on the part of PubMatic or the Compliance Officer, or any other designated employee pursuant to this Policy (or otherwise) does not in any way constitute legal advice or protect you from liability under applicable securities laws, rules and regulations. Additionally, neither PubMatic nor the Compliance Officer is responsible for any failure to approve a trade or for imposing any Blackout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Scope</w:t>
      </w:r>
    </w:p>
    <w:p>
      <w:pPr>
        <w:spacing w:after="0" w:line="168" w:lineRule="exact"/>
        <w:rPr>
          <w:sz w:val="20"/>
          <w:szCs w:val="20"/>
          <w:color w:val="auto"/>
        </w:rPr>
      </w:pPr>
    </w:p>
    <w:p>
      <w:pPr>
        <w:ind w:left="520" w:right="140" w:hanging="260"/>
        <w:spacing w:after="0" w:line="296" w:lineRule="auto"/>
        <w:tabs>
          <w:tab w:leader="none" w:pos="520" w:val="left"/>
        </w:tabs>
        <w:numPr>
          <w:ilvl w:val="0"/>
          <w:numId w:val="3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This Policy covers you, as well as your Family Members; it also covers entities (such as partnerships, trusts and corporations) that are affiliated or associated with such persons, including venture capital funds, provided, however, that this Policy shall not apply to any entity that engages in the investment of securities in the ordinary course of its business (e.g., an investment fund or partnership) if such entity has established its own written insider trading controls and procedures in compliance with applicable securities laws, and such policy or policies have been provided or made available to our General Counsel (including any amendments thereto from time to time). Covered Persons are responsible for ensuring compliance with this Policy by their Family Members, and by entities with which they are affiliated or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12934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56" w:lineRule="exact"/>
        <w:rPr>
          <w:sz w:val="20"/>
          <w:szCs w:val="20"/>
          <w:color w:val="auto"/>
        </w:rPr>
      </w:pPr>
    </w:p>
    <w:p>
      <w:pPr>
        <w:ind w:right="80" w:firstLine="5"/>
        <w:spacing w:after="0" w:line="238" w:lineRule="auto"/>
        <w:tabs>
          <w:tab w:leader="none" w:pos="81"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b w:val="1"/>
          <w:bCs w:val="1"/>
          <w:color w:val="auto"/>
        </w:rPr>
        <w:t>Material Nonpublic Information</w:t>
      </w:r>
      <w:r>
        <w:rPr>
          <w:rFonts w:ascii="Times New Roman" w:cs="Times New Roman" w:eastAsia="Times New Roman" w:hAnsi="Times New Roman"/>
          <w:sz w:val="14"/>
          <w:szCs w:val="14"/>
          <w:color w:val="auto"/>
        </w:rPr>
        <w:t>: While it is not possible to define all categories of material information, in sum, information is considered “material” if a reasonable investor would consider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important in making a decision to buy, hold or sell securities. Information is “nonpublic” if it has not been widely disseminated to the public through, for example, major newswire services, national news services, SEC filings, webcasts or financial news services. If you have any doubt whether information obtained in the course of your work at PubMatic is material or nonpublic, always consult the Compliance Officer. Please refer to the FAQs about this policy for additional information regarding material nonpublic information.</w:t>
      </w:r>
    </w:p>
    <w:p>
      <w:pPr>
        <w:sectPr>
          <w:pgSz w:w="11900" w:h="16838" w:orient="portrait"/>
          <w:cols w:equalWidth="0" w:num="1">
            <w:col w:w="11280"/>
          </w:cols>
          <w:pgMar w:left="300" w:top="1329" w:right="319" w:bottom="1440" w:gutter="0" w:footer="0" w:header="0"/>
        </w:sectPr>
      </w:pPr>
    </w:p>
    <w:bookmarkStart w:id="128" w:name="page129"/>
    <w:bookmarkEnd w:id="128"/>
    <w:p>
      <w:pPr>
        <w:ind w:left="520" w:right="160" w:hanging="260"/>
        <w:spacing w:after="0" w:line="254" w:lineRule="auto"/>
        <w:tabs>
          <w:tab w:leader="none" w:pos="520" w:val="left"/>
        </w:tabs>
        <w:numPr>
          <w:ilvl w:val="0"/>
          <w:numId w:val="3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This Policy applies to all transactions in PubMatic securities, including shares of PubMatic common stock and options to purchase common stock, however acquired, and any other type of securities that PubMatic may issue, such as restricted stock units, preferred stock, convertible notes, warrants and exchange-traded options or other derivative securities.</w:t>
      </w:r>
    </w:p>
    <w:p>
      <w:pPr>
        <w:spacing w:after="0" w:line="116" w:lineRule="exact"/>
        <w:rPr>
          <w:rFonts w:ascii="Times New Roman" w:cs="Times New Roman" w:eastAsia="Times New Roman" w:hAnsi="Times New Roman"/>
          <w:sz w:val="16"/>
          <w:szCs w:val="16"/>
          <w:color w:val="010000"/>
        </w:rPr>
      </w:pPr>
    </w:p>
    <w:p>
      <w:pPr>
        <w:ind w:left="520" w:right="60" w:hanging="260"/>
        <w:spacing w:after="0" w:line="234" w:lineRule="auto"/>
        <w:tabs>
          <w:tab w:leader="none" w:pos="520" w:val="left"/>
        </w:tabs>
        <w:numPr>
          <w:ilvl w:val="0"/>
          <w:numId w:val="3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PubMatic may impose sanctions for violation of this Policy and may issue stop-transfer orders to its transfer agent to implement such sanctions. Sanctions for individuals may include any disciplinary action, including termination of employment or service relationship with PubMatic or referral to the appropriate enforcement authority, where applicable. </w:t>
      </w:r>
      <w:r>
        <w:rPr>
          <w:rFonts w:ascii="Times New Roman" w:cs="Times New Roman" w:eastAsia="Times New Roman" w:hAnsi="Times New Roman"/>
          <w:sz w:val="16"/>
          <w:szCs w:val="16"/>
          <w:b w:val="1"/>
          <w:bCs w:val="1"/>
          <w:color w:val="auto"/>
        </w:rPr>
        <w:t>Section 16 Persons and/or Access Persons</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may be required to certify compliance with this Policy on an annual basis. Notifications and approvals required under this Policy may be provided by electronic mail.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 of Company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Prohibited Activities</w:t>
      </w:r>
    </w:p>
    <w:p>
      <w:pPr>
        <w:spacing w:after="0" w:line="179" w:lineRule="exact"/>
        <w:rPr>
          <w:sz w:val="20"/>
          <w:szCs w:val="20"/>
          <w:color w:val="auto"/>
        </w:rPr>
      </w:pPr>
    </w:p>
    <w:p>
      <w:pPr>
        <w:ind w:left="500" w:hanging="240"/>
        <w:spacing w:after="0"/>
        <w:tabs>
          <w:tab w:leader="none" w:pos="500" w:val="left"/>
        </w:tabs>
        <w:numPr>
          <w:ilvl w:val="0"/>
          <w:numId w:val="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Access Person may trade in PubMatic securities unless the trade has been approved in advance by the Compliance Officer in accordance with this Policy.</w:t>
      </w:r>
    </w:p>
    <w:p>
      <w:pPr>
        <w:spacing w:after="0" w:line="166" w:lineRule="exact"/>
        <w:rPr>
          <w:rFonts w:ascii="Times New Roman" w:cs="Times New Roman" w:eastAsia="Times New Roman" w:hAnsi="Times New Roman"/>
          <w:sz w:val="16"/>
          <w:szCs w:val="16"/>
          <w:color w:val="010000"/>
        </w:rPr>
      </w:pPr>
    </w:p>
    <w:p>
      <w:pPr>
        <w:ind w:left="520" w:hanging="260"/>
        <w:spacing w:after="0" w:line="300" w:lineRule="auto"/>
        <w:tabs>
          <w:tab w:leader="none" w:pos="514" w:val="left"/>
        </w:tabs>
        <w:numPr>
          <w:ilvl w:val="0"/>
          <w:numId w:val="3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Section 16 Persons and 10b5-1 Plan Designated Persons may not trade in PubMatic securities unless (a) the trade is pursuant to a 10b5-1 Plan permitted--and strongly encouraged--under this Policy or (b) the trade has been approved in advance by the Compliance Officer in accordance with this Policy, in the Compliance Officer’s sole discretion; such Section 16 Person(s) or 10b5-1 Plan Designated Person(s) is not in possession of material nonpublic information concerning PubMatic; and such Section 16 Person(s) or 10b5-1 Plan Designated Person(s) has provided all reasonable cooperation and documentation requested by the Compliance Officer in obtaining approval.</w:t>
      </w:r>
    </w:p>
    <w:p>
      <w:pPr>
        <w:spacing w:after="0" w:line="118" w:lineRule="exact"/>
        <w:rPr>
          <w:rFonts w:ascii="Times New Roman" w:cs="Times New Roman" w:eastAsia="Times New Roman" w:hAnsi="Times New Roman"/>
          <w:sz w:val="14"/>
          <w:szCs w:val="14"/>
          <w:color w:val="010000"/>
        </w:rPr>
      </w:pPr>
    </w:p>
    <w:p>
      <w:pPr>
        <w:ind w:left="520" w:right="160" w:hanging="260"/>
        <w:spacing w:after="0" w:line="254" w:lineRule="auto"/>
        <w:tabs>
          <w:tab w:leader="none" w:pos="514" w:val="left"/>
        </w:tabs>
        <w:numPr>
          <w:ilvl w:val="0"/>
          <w:numId w:val="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trade in PubMatic securities while possessing material nonpublic information about PubMatic. It does not matter if the personal decision to trade was made before coming into possession of material nonpublic information – once the Covered Person comes into possession of the material nonpublic information, he/she/they cannot trade (other than pursuant to a permitted 10b5-1 Plan).</w:t>
      </w:r>
    </w:p>
    <w:p>
      <w:pPr>
        <w:spacing w:after="0" w:line="137" w:lineRule="exact"/>
        <w:rPr>
          <w:rFonts w:ascii="Times New Roman" w:cs="Times New Roman" w:eastAsia="Times New Roman" w:hAnsi="Times New Roman"/>
          <w:sz w:val="16"/>
          <w:szCs w:val="16"/>
          <w:color w:val="010000"/>
        </w:rPr>
      </w:pPr>
    </w:p>
    <w:p>
      <w:pPr>
        <w:ind w:left="520" w:hanging="260"/>
        <w:spacing w:after="0" w:line="273" w:lineRule="auto"/>
        <w:tabs>
          <w:tab w:leader="none" w:pos="512" w:val="left"/>
        </w:tabs>
        <w:numPr>
          <w:ilvl w:val="0"/>
          <w:numId w:val="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trade in, or make a gift or other transfer of, PubMatic securities outside of the Policy’s Trading Windows, or during any Blackout Period designated by the Compliance Officer.</w:t>
      </w:r>
    </w:p>
    <w:p>
      <w:pPr>
        <w:spacing w:after="0" w:line="133" w:lineRule="exact"/>
        <w:rPr>
          <w:rFonts w:ascii="Times New Roman" w:cs="Times New Roman" w:eastAsia="Times New Roman" w:hAnsi="Times New Roman"/>
          <w:sz w:val="16"/>
          <w:szCs w:val="16"/>
          <w:color w:val="010000"/>
        </w:rPr>
      </w:pPr>
    </w:p>
    <w:p>
      <w:pPr>
        <w:ind w:left="520" w:right="240" w:hanging="260"/>
        <w:spacing w:after="0" w:line="259" w:lineRule="auto"/>
        <w:tabs>
          <w:tab w:leader="none" w:pos="516" w:val="left"/>
        </w:tabs>
        <w:numPr>
          <w:ilvl w:val="0"/>
          <w:numId w:val="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disclose material nonpublic information about PubMatic to any outside person, unless required to do so as part of that Covered Person’s regular duties for PubMatic or authorized by the Compliance Officer.</w:t>
      </w:r>
    </w:p>
    <w:p>
      <w:pPr>
        <w:spacing w:after="0" w:line="143" w:lineRule="exact"/>
        <w:rPr>
          <w:rFonts w:ascii="Times New Roman" w:cs="Times New Roman" w:eastAsia="Times New Roman" w:hAnsi="Times New Roman"/>
          <w:sz w:val="16"/>
          <w:szCs w:val="16"/>
          <w:color w:val="010000"/>
        </w:rPr>
      </w:pPr>
    </w:p>
    <w:p>
      <w:pPr>
        <w:ind w:left="520" w:right="140" w:hanging="260"/>
        <w:spacing w:after="0" w:line="259" w:lineRule="auto"/>
        <w:tabs>
          <w:tab w:leader="none" w:pos="506" w:val="left"/>
        </w:tabs>
        <w:numPr>
          <w:ilvl w:val="0"/>
          <w:numId w:val="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give trading advice of any kind about PubMatic to anyone while possessing material nonpublic information about PubMatic, except that Covered Persons should advise others not to trade if doing so might violate this Policy or the law. We strongly discourage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2934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211" w:lineRule="exact"/>
        <w:rPr>
          <w:sz w:val="20"/>
          <w:szCs w:val="20"/>
          <w:color w:val="auto"/>
        </w:rPr>
      </w:pPr>
    </w:p>
    <w:p>
      <w:pPr>
        <w:ind w:right="80" w:firstLine="5"/>
        <w:spacing w:after="0" w:line="238" w:lineRule="auto"/>
        <w:tabs>
          <w:tab w:leader="none" w:pos="81"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16 Persons</w:t>
      </w:r>
      <w:r>
        <w:rPr>
          <w:rFonts w:ascii="Times New Roman" w:cs="Times New Roman" w:eastAsia="Times New Roman" w:hAnsi="Times New Roman"/>
          <w:sz w:val="14"/>
          <w:szCs w:val="14"/>
          <w:color w:val="auto"/>
        </w:rPr>
        <w:t>” means the officers (as defined in Rule 16a-1(f) of the Exchange Act) of PubMatic and members of the Board, including the principal accounting officer. “</w:t>
      </w:r>
      <w:r>
        <w:rPr>
          <w:rFonts w:ascii="Times New Roman" w:cs="Times New Roman" w:eastAsia="Times New Roman" w:hAnsi="Times New Roman"/>
          <w:sz w:val="14"/>
          <w:szCs w:val="14"/>
          <w:b w:val="1"/>
          <w:bCs w:val="1"/>
          <w:color w:val="auto"/>
        </w:rPr>
        <w:t>Access Persons</w:t>
      </w:r>
      <w:r>
        <w:rPr>
          <w:rFonts w:ascii="Times New Roman" w:cs="Times New Roman" w:eastAsia="Times New Roman" w:hAnsi="Times New Roman"/>
          <w:sz w:val="14"/>
          <w:szCs w:val="14"/>
          <w:color w:val="auto"/>
        </w:rPr>
        <w:t>” (listed in Exhibit A) means persons, other than Section 16 Persons, who have been designated by PubMatic as having regular access to material nonpublic information about PubMatic in the normal course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00" w:top="1309" w:right="359" w:bottom="1440" w:gutter="0" w:footer="0" w:header="0"/>
        </w:sectPr>
      </w:pPr>
    </w:p>
    <w:bookmarkStart w:id="129" w:name="page130"/>
    <w:bookmarkEnd w:id="129"/>
    <w:p>
      <w:pPr>
        <w:ind w:left="520" w:right="760"/>
        <w:spacing w:after="0" w:line="273" w:lineRule="auto"/>
        <w:rPr>
          <w:sz w:val="20"/>
          <w:szCs w:val="20"/>
          <w:color w:val="auto"/>
        </w:rPr>
      </w:pPr>
      <w:r>
        <w:rPr>
          <w:rFonts w:ascii="Times New Roman" w:cs="Times New Roman" w:eastAsia="Times New Roman" w:hAnsi="Times New Roman"/>
          <w:sz w:val="16"/>
          <w:szCs w:val="16"/>
          <w:color w:val="auto"/>
        </w:rPr>
        <w:t>Covered Persons from giving trading advice concerning PubMatic to third parties in any case, even when the Covered Persons do not possess material nonpublic information about PubMatic.</w:t>
      </w:r>
    </w:p>
    <w:p>
      <w:pPr>
        <w:spacing w:after="0" w:line="123" w:lineRule="exact"/>
        <w:rPr>
          <w:sz w:val="20"/>
          <w:szCs w:val="20"/>
          <w:color w:val="auto"/>
        </w:rPr>
      </w:pPr>
    </w:p>
    <w:p>
      <w:pPr>
        <w:ind w:left="520" w:right="40" w:hanging="260"/>
        <w:spacing w:after="0" w:line="254" w:lineRule="auto"/>
        <w:tabs>
          <w:tab w:leader="none" w:pos="512" w:val="left"/>
        </w:tabs>
        <w:numPr>
          <w:ilvl w:val="0"/>
          <w:numId w:val="3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(a) trade in the securities of any other public company while possessing material nonpublic information about that company that was obtained in the course of service as a Covered Person; (b) disclose material nonpublic information about another public company to anyone; or (c) give anyone trading advice about any other public company while possessing material nonpublic information about that company.</w:t>
      </w:r>
    </w:p>
    <w:p>
      <w:pPr>
        <w:spacing w:after="0" w:line="147" w:lineRule="exact"/>
        <w:rPr>
          <w:rFonts w:ascii="Times New Roman" w:cs="Times New Roman" w:eastAsia="Times New Roman" w:hAnsi="Times New Roman"/>
          <w:sz w:val="16"/>
          <w:szCs w:val="16"/>
          <w:color w:val="010000"/>
        </w:rPr>
      </w:pPr>
    </w:p>
    <w:p>
      <w:pPr>
        <w:ind w:left="520" w:right="140" w:hanging="260"/>
        <w:spacing w:after="0" w:line="273" w:lineRule="auto"/>
        <w:tabs>
          <w:tab w:leader="none" w:pos="512" w:val="left"/>
        </w:tabs>
        <w:numPr>
          <w:ilvl w:val="0"/>
          <w:numId w:val="3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engage in transactions involving options or other derivative securities on PubMatic’s securities, such as puts and calls, whether on an exchange or in any other market; provided however that a Covered Person may exercise compensatory equity grants issued by PubMatic.</w:t>
      </w:r>
    </w:p>
    <w:p>
      <w:pPr>
        <w:spacing w:after="0" w:line="122" w:lineRule="exact"/>
        <w:rPr>
          <w:rFonts w:ascii="Times New Roman" w:cs="Times New Roman" w:eastAsia="Times New Roman" w:hAnsi="Times New Roman"/>
          <w:sz w:val="16"/>
          <w:szCs w:val="16"/>
          <w:color w:val="010000"/>
        </w:rPr>
      </w:pPr>
    </w:p>
    <w:p>
      <w:pPr>
        <w:ind w:left="520" w:right="260" w:hanging="260"/>
        <w:spacing w:after="0" w:line="273" w:lineRule="auto"/>
        <w:tabs>
          <w:tab w:leader="none" w:pos="515" w:val="left"/>
        </w:tabs>
        <w:numPr>
          <w:ilvl w:val="0"/>
          <w:numId w:val="3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engage in hedging or monetization transactions involving PubMatic securities, such as zero-cost collars and forward sale contracts or contribute PubMatic securities to exchange funds that could be interpreted as having the effect of hedging in PubMatic securities.</w:t>
      </w:r>
    </w:p>
    <w:p>
      <w:pPr>
        <w:spacing w:after="0" w:line="122" w:lineRule="exact"/>
        <w:rPr>
          <w:rFonts w:ascii="Times New Roman" w:cs="Times New Roman" w:eastAsia="Times New Roman" w:hAnsi="Times New Roman"/>
          <w:sz w:val="16"/>
          <w:szCs w:val="16"/>
          <w:color w:val="010000"/>
        </w:rPr>
      </w:pPr>
    </w:p>
    <w:p>
      <w:pPr>
        <w:ind w:left="500" w:hanging="240"/>
        <w:spacing w:after="0"/>
        <w:tabs>
          <w:tab w:leader="none" w:pos="500" w:val="left"/>
        </w:tabs>
        <w:numPr>
          <w:ilvl w:val="0"/>
          <w:numId w:val="3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engage in short sales of PubMatic’s securities, including short sales “against the box.”</w:t>
      </w:r>
    </w:p>
    <w:p>
      <w:pPr>
        <w:spacing w:after="0" w:line="176" w:lineRule="exact"/>
        <w:rPr>
          <w:rFonts w:ascii="Times New Roman" w:cs="Times New Roman" w:eastAsia="Times New Roman" w:hAnsi="Times New Roman"/>
          <w:sz w:val="16"/>
          <w:szCs w:val="16"/>
          <w:color w:val="010000"/>
        </w:rPr>
      </w:pPr>
    </w:p>
    <w:p>
      <w:pPr>
        <w:ind w:left="520" w:right="740" w:hanging="260"/>
        <w:spacing w:after="0" w:line="273" w:lineRule="auto"/>
        <w:tabs>
          <w:tab w:leader="none" w:pos="512" w:val="left"/>
        </w:tabs>
        <w:numPr>
          <w:ilvl w:val="0"/>
          <w:numId w:val="3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Covered Person may use or pledge PubMatic securities as collateral in a margin account or as collateral for a loan unless the pledge has been approved by the Compliance Officer.</w:t>
      </w:r>
    </w:p>
    <w:p>
      <w:pPr>
        <w:spacing w:after="0" w:line="122" w:lineRule="exact"/>
        <w:rPr>
          <w:rFonts w:ascii="Times New Roman" w:cs="Times New Roman" w:eastAsia="Times New Roman" w:hAnsi="Times New Roman"/>
          <w:sz w:val="16"/>
          <w:szCs w:val="16"/>
          <w:color w:val="010000"/>
        </w:rPr>
      </w:pPr>
    </w:p>
    <w:p>
      <w:pPr>
        <w:ind w:left="520" w:hanging="260"/>
        <w:spacing w:after="0"/>
        <w:tabs>
          <w:tab w:leader="none" w:pos="520" w:val="left"/>
        </w:tabs>
        <w:numPr>
          <w:ilvl w:val="0"/>
          <w:numId w:val="3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We will not transact in our securities unless in compliance with applicable U.S. securities laws, rules and regulations and applicable Nasdaq listing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Trading Windows and Blackout Periods</w:t>
      </w:r>
    </w:p>
    <w:p>
      <w:pPr>
        <w:spacing w:after="0" w:line="166" w:lineRule="exact"/>
        <w:rPr>
          <w:sz w:val="20"/>
          <w:szCs w:val="20"/>
          <w:color w:val="auto"/>
        </w:rPr>
      </w:pPr>
    </w:p>
    <w:p>
      <w:pPr>
        <w:ind w:left="520" w:hanging="260"/>
        <w:spacing w:after="0" w:line="253" w:lineRule="auto"/>
        <w:tabs>
          <w:tab w:leader="none" w:pos="520" w:val="left"/>
        </w:tabs>
        <w:numPr>
          <w:ilvl w:val="0"/>
          <w:numId w:val="3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i w:val="1"/>
          <w:iCs w:val="1"/>
          <w:color w:val="auto"/>
        </w:rPr>
        <w:t>Trading Windows</w:t>
      </w:r>
      <w:r>
        <w:rPr>
          <w:rFonts w:ascii="Times New Roman" w:cs="Times New Roman" w:eastAsia="Times New Roman" w:hAnsi="Times New Roman"/>
          <w:sz w:val="16"/>
          <w:szCs w:val="16"/>
          <w:color w:val="auto"/>
        </w:rPr>
        <w:t>. Other than pursuant to an approved 10b5-1 Plan, all Covered Persons are permitted to trade in PubMatic securities only during the Trading Window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period that </w:t>
      </w:r>
      <w:r>
        <w:rPr>
          <w:rFonts w:ascii="Times New Roman" w:cs="Times New Roman" w:eastAsia="Times New Roman" w:hAnsi="Times New Roman"/>
          <w:sz w:val="16"/>
          <w:szCs w:val="16"/>
          <w:u w:val="single" w:color="auto"/>
          <w:color w:val="auto"/>
        </w:rPr>
        <w:t>begins</w:t>
      </w:r>
      <w:r>
        <w:rPr>
          <w:rFonts w:ascii="Times New Roman" w:cs="Times New Roman" w:eastAsia="Times New Roman" w:hAnsi="Times New Roman"/>
          <w:sz w:val="16"/>
          <w:szCs w:val="16"/>
          <w:color w:val="auto"/>
        </w:rPr>
        <w:t xml:space="preserve"> after the close of trading on the next full trading day following the widespread public release of our quarterly or year-end operating results, and </w:t>
      </w:r>
      <w:r>
        <w:rPr>
          <w:rFonts w:ascii="Times New Roman" w:cs="Times New Roman" w:eastAsia="Times New Roman" w:hAnsi="Times New Roman"/>
          <w:sz w:val="16"/>
          <w:szCs w:val="16"/>
          <w:u w:val="single" w:color="auto"/>
          <w:color w:val="auto"/>
        </w:rPr>
        <w:t>ends</w:t>
      </w:r>
      <w:r>
        <w:rPr>
          <w:rFonts w:ascii="Times New Roman" w:cs="Times New Roman" w:eastAsia="Times New Roman" w:hAnsi="Times New Roman"/>
          <w:sz w:val="16"/>
          <w:szCs w:val="16"/>
          <w:color w:val="auto"/>
        </w:rPr>
        <w:t xml:space="preserve"> at the close of trading on the fifth calendar day of the third month of the then-current quarter. If the fifth calendar day of the third month of the then-current quarter falls on a weekend, the Trading Window will close as of the close of trading on the last trading day prior to the weekend.</w:t>
      </w:r>
    </w:p>
    <w:p>
      <w:pPr>
        <w:spacing w:after="0" w:line="147" w:lineRule="exact"/>
        <w:rPr>
          <w:rFonts w:ascii="Times New Roman" w:cs="Times New Roman" w:eastAsia="Times New Roman" w:hAnsi="Times New Roman"/>
          <w:sz w:val="16"/>
          <w:szCs w:val="16"/>
          <w:color w:val="010000"/>
        </w:rPr>
      </w:pPr>
    </w:p>
    <w:p>
      <w:pPr>
        <w:ind w:left="520" w:right="240" w:hanging="260"/>
        <w:spacing w:after="0" w:line="309" w:lineRule="auto"/>
        <w:tabs>
          <w:tab w:leader="none" w:pos="520" w:val="left"/>
        </w:tabs>
        <w:numPr>
          <w:ilvl w:val="0"/>
          <w:numId w:val="3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i w:val="1"/>
          <w:iCs w:val="1"/>
          <w:color w:val="auto"/>
        </w:rPr>
        <w:t xml:space="preserve">No Trading During Trading Windows While in the Possession of Material Nonpublic Information. </w:t>
      </w:r>
      <w:r>
        <w:rPr>
          <w:rFonts w:ascii="Times New Roman" w:cs="Times New Roman" w:eastAsia="Times New Roman" w:hAnsi="Times New Roman"/>
          <w:sz w:val="14"/>
          <w:szCs w:val="14"/>
          <w:color w:val="auto"/>
        </w:rPr>
        <w:t>Even if a Trading Window is in effect, no Covered Person possessing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nonpublic information about PubMatic may trade in PubMatic securities (other than pursuant to an approved 10b5-1 Plan). Persons possessing such information may trade during a Trading Window only after the close of trading on the next full trading day following our widespread public release of such information.</w:t>
      </w:r>
    </w:p>
    <w:p>
      <w:pPr>
        <w:spacing w:after="0" w:line="101" w:lineRule="exact"/>
        <w:rPr>
          <w:rFonts w:ascii="Times New Roman" w:cs="Times New Roman" w:eastAsia="Times New Roman" w:hAnsi="Times New Roman"/>
          <w:sz w:val="14"/>
          <w:szCs w:val="14"/>
          <w:color w:val="010000"/>
        </w:rPr>
      </w:pPr>
    </w:p>
    <w:p>
      <w:pPr>
        <w:ind w:left="520" w:right="220"/>
        <w:spacing w:after="0" w:line="261" w:lineRule="auto"/>
        <w:rPr>
          <w:rFonts w:ascii="Times New Roman" w:cs="Times New Roman" w:eastAsia="Times New Roman" w:hAnsi="Times New Roman"/>
          <w:sz w:val="14"/>
          <w:szCs w:val="14"/>
          <w:color w:val="010000"/>
        </w:rPr>
      </w:pPr>
      <w:r>
        <w:rPr>
          <w:rFonts w:ascii="Times New Roman" w:cs="Times New Roman" w:eastAsia="Times New Roman" w:hAnsi="Times New Roman"/>
          <w:sz w:val="16"/>
          <w:szCs w:val="16"/>
          <w:color w:val="auto"/>
        </w:rPr>
        <w:t>For example, if PubMatic announces earnings after close of trading on a Monday (or before trading begins on a Tuesday), then the first time a Covered Person can trade PubMatic securities is after the close of market on Tuesday (effectively the opening of the market on Wednesday for regular trading), assuming the Covered Person is not aware of other material nonpublic information at that time. However, if PubMatic announces earnings after trading begins 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309" w:right="319" w:bottom="1440" w:gutter="0" w:footer="0" w:header="0"/>
        </w:sectPr>
      </w:pPr>
    </w:p>
    <w:bookmarkStart w:id="130" w:name="page131"/>
    <w:bookmarkEnd w:id="130"/>
    <w:p>
      <w:pPr>
        <w:ind w:left="520"/>
        <w:spacing w:after="0"/>
        <w:rPr>
          <w:sz w:val="20"/>
          <w:szCs w:val="20"/>
          <w:color w:val="auto"/>
        </w:rPr>
      </w:pPr>
      <w:r>
        <w:rPr>
          <w:rFonts w:ascii="Times New Roman" w:cs="Times New Roman" w:eastAsia="Times New Roman" w:hAnsi="Times New Roman"/>
          <w:sz w:val="14"/>
          <w:szCs w:val="14"/>
          <w:color w:val="auto"/>
        </w:rPr>
        <w:t>Tuesday, then the first time the Covered Person can trade is after the close of market on Wednesday (effectively the opening of the market on Thursday for regular trading).</w:t>
      </w:r>
    </w:p>
    <w:p>
      <w:pPr>
        <w:spacing w:after="0" w:line="198" w:lineRule="exact"/>
        <w:rPr>
          <w:sz w:val="20"/>
          <w:szCs w:val="20"/>
          <w:color w:val="auto"/>
        </w:rPr>
      </w:pPr>
    </w:p>
    <w:p>
      <w:pPr>
        <w:ind w:left="520" w:right="20" w:hanging="260"/>
        <w:spacing w:after="0" w:line="248" w:lineRule="auto"/>
        <w:tabs>
          <w:tab w:leader="none" w:pos="520" w:val="left"/>
        </w:tabs>
        <w:numPr>
          <w:ilvl w:val="0"/>
          <w:numId w:val="4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i w:val="1"/>
          <w:iCs w:val="1"/>
          <w:color w:val="auto"/>
        </w:rPr>
        <w:t>No Trading During Blackout Periods</w:t>
      </w:r>
      <w:r>
        <w:rPr>
          <w:rFonts w:ascii="Times New Roman" w:cs="Times New Roman" w:eastAsia="Times New Roman" w:hAnsi="Times New Roman"/>
          <w:sz w:val="16"/>
          <w:szCs w:val="16"/>
          <w:color w:val="auto"/>
        </w:rPr>
        <w:t>. Even if a Trading Window is in effect, the Compliance Officer may designate special trading Blackout Periods that apply to particular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individuals or groups of persons (including all Covered Persons), for such time, and with respect to such persons, as the Compliance Officer determines in his/her/their discretion. No Covered Person may trade in PubMatic securities outside of the applicable Trading Windows or during any such Blackout Periods. No Covered Person who learns of such a Blackout Period may disclose to any other person that a Blackout Period has been designated or that one was previously in place. The fact of the Blackout Period is confidential and cannot be disclosed internally or externally. The failure of the Compliance Officer to subject a person to a Blackout Period does not relieve that person of the obligation not to trade while in possession of material non-public information.</w:t>
      </w:r>
    </w:p>
    <w:p>
      <w:pPr>
        <w:spacing w:after="0" w:line="155" w:lineRule="exact"/>
        <w:rPr>
          <w:rFonts w:ascii="Times New Roman" w:cs="Times New Roman" w:eastAsia="Times New Roman" w:hAnsi="Times New Roman"/>
          <w:sz w:val="16"/>
          <w:szCs w:val="16"/>
          <w:color w:val="010000"/>
        </w:rPr>
      </w:pPr>
    </w:p>
    <w:p>
      <w:pPr>
        <w:ind w:left="520" w:right="60"/>
        <w:spacing w:after="0" w:line="285" w:lineRule="auto"/>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For example, the Compliance Officer may designate a special trading Blackout Period imposed before the announcement of a product launch or new content offering that covers certain Service Providers who are involved in working on the project. So, prior to the launch of a new product or content offering, the Compliance Officer may inform you that due to your involvement in the project, you may not trade for a designated period of time – for example, within 30 calendar days prior to the announcement</w:t>
      </w:r>
    </w:p>
    <w:p>
      <w:pPr>
        <w:ind w:left="520" w:right="80"/>
        <w:spacing w:after="0" w:line="246" w:lineRule="auto"/>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even though the Trading Window is otherwise open to other Service Providers who are not involved in the project and who do not have material nonpublic information with respect to the anticipated announcement. Please note that the length of a special Blackout Period may vary due to any number of factors and will be determined by the Compliance Officer and additional stakeholders depending on the particular situation.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Approval of Trades Required for Access Persons; 10b5-1 Plans Strongly Encouraged for Section 16 Persons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Access Persons, Section 16 Persons, and 10b5-1 Plan Designated Persons must obtain prior approval of all trades in PubMatic securities from the Compliance Officer.</w:t>
      </w:r>
    </w:p>
    <w:p>
      <w:pPr>
        <w:spacing w:after="0" w:line="175" w:lineRule="exact"/>
        <w:rPr>
          <w:sz w:val="20"/>
          <w:szCs w:val="20"/>
          <w:color w:val="auto"/>
        </w:rPr>
      </w:pPr>
    </w:p>
    <w:p>
      <w:pPr>
        <w:ind w:right="140"/>
        <w:spacing w:after="0" w:line="333" w:lineRule="auto"/>
        <w:rPr>
          <w:sz w:val="20"/>
          <w:szCs w:val="20"/>
          <w:color w:val="auto"/>
        </w:rPr>
      </w:pPr>
      <w:r>
        <w:rPr>
          <w:rFonts w:ascii="Times New Roman" w:cs="Times New Roman" w:eastAsia="Times New Roman" w:hAnsi="Times New Roman"/>
          <w:sz w:val="14"/>
          <w:szCs w:val="14"/>
          <w:color w:val="auto"/>
        </w:rPr>
        <w:t xml:space="preserve">Section 16 Persons and 10b5-1 Plan Designated Persons are </w:t>
      </w:r>
      <w:r>
        <w:rPr>
          <w:rFonts w:ascii="Times New Roman" w:cs="Times New Roman" w:eastAsia="Times New Roman" w:hAnsi="Times New Roman"/>
          <w:sz w:val="14"/>
          <w:szCs w:val="14"/>
          <w:b w:val="1"/>
          <w:bCs w:val="1"/>
          <w:u w:val="single" w:color="auto"/>
          <w:color w:val="auto"/>
        </w:rPr>
        <w:t>strongly encouraged</w:t>
      </w:r>
      <w:r>
        <w:rPr>
          <w:rFonts w:ascii="Times New Roman" w:cs="Times New Roman" w:eastAsia="Times New Roman" w:hAnsi="Times New Roman"/>
          <w:sz w:val="14"/>
          <w:szCs w:val="14"/>
          <w:color w:val="auto"/>
        </w:rPr>
        <w:t xml:space="preserve"> to not trade in PubMatic securities unless the trade is pursuant to a 10b5-1 Plan permitted under this Policy. In addition, Section 16 Persons and 10b5-1 Plan Designated Persons must notify the Compliance Officer prior to any gifts or other transfers of PubMatic securities.</w:t>
      </w:r>
    </w:p>
    <w:p>
      <w:pPr>
        <w:spacing w:after="0" w:line="6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Certain sales, purchases and other transfers of PubMatic securities otherwise prohibited by this Policy may be permitted if they are effected pursuant to a 10b5-1 Plan that (a) complies with the requirements of Rule 10b5-1 under the Exchange Act and this Policy, (b) is approved by the Compliance Officer in writing and is entered into during an open Trading Window and not during any Blackout Period, (c) the first trade under the 10b5-1 Plan does not occur (i) for a Section 16 Person: until the later of (A) 90 days after the adoption of the 10b5-1 Plan and (B) two business days following the disclosure of PubMatic’s financial results in a Form 10-Q or Form 10-K for the completed fiscal quarter in which the 10b5-1 Plan was adopted that discloses PubMatic’s financial results (but not to exceed 120 days following the adoption of the 10b5-1 Plan), and (ii) for persons other than Section 16 Persons: at least 30 days after adoption of the 10b5-1 Plan, in each case, following the Compliance Officer’s approval of the 10b5-1 Plan (such waiting periods are collectively referred to as the “</w:t>
      </w:r>
      <w:r>
        <w:rPr>
          <w:rFonts w:ascii="Times New Roman" w:cs="Times New Roman" w:eastAsia="Times New Roman" w:hAnsi="Times New Roman"/>
          <w:sz w:val="16"/>
          <w:szCs w:val="16"/>
          <w:b w:val="1"/>
          <w:bCs w:val="1"/>
          <w:color w:val="auto"/>
        </w:rPr>
        <w:t>Cooling-Off Period</w:t>
      </w:r>
      <w:r>
        <w:rPr>
          <w:rFonts w:ascii="Times New Roman" w:cs="Times New Roman" w:eastAsia="Times New Roman" w:hAnsi="Times New Roman"/>
          <w:sz w:val="16"/>
          <w:szCs w:val="16"/>
          <w:color w:val="auto"/>
        </w:rPr>
        <w:t>”); (d) the person establishing the 10b5-1 Plan has certified to the Compliance Officer in writing, no earlier than three business days prior to the date that the 10b5-1 Plan is formally established (and shall not have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60"/>
          </w:cols>
          <w:pgMar w:left="300" w:top="1309" w:right="339" w:bottom="1440" w:gutter="0" w:footer="0" w:header="0"/>
        </w:sectPr>
      </w:pPr>
    </w:p>
    <w:bookmarkStart w:id="131" w:name="page132"/>
    <w:bookmarkEnd w:id="131"/>
    <w:p>
      <w:pPr>
        <w:ind w:right="20"/>
        <w:spacing w:after="0" w:line="246" w:lineRule="auto"/>
        <w:rPr>
          <w:sz w:val="20"/>
          <w:szCs w:val="20"/>
          <w:color w:val="auto"/>
        </w:rPr>
      </w:pPr>
      <w:r>
        <w:rPr>
          <w:rFonts w:ascii="Times New Roman" w:cs="Times New Roman" w:eastAsia="Times New Roman" w:hAnsi="Times New Roman"/>
          <w:sz w:val="16"/>
          <w:szCs w:val="16"/>
          <w:color w:val="auto"/>
        </w:rPr>
        <w:t>such certification prior to such establishment), that as of such date and as of the adoption date of the 10b5-1 Plan, (i) such person is not and, to such person’s knowledge, will not be, aware of material nonpublic information concerning PubMatic; (ii) all such trades to be made pursuant to the 10b5-1 Plan will be made in accordance with the trading restrictions of Section 16 of the Exchange Act and Rule 144 of the Securities Act to the extent such Sections are applicable; (iii) such person is adopting the 10b5-1 Plan in good faith and not as part of a plan or scheme to evade the prohibitions of Section 10(b) of the Exchange Act and Rule 10b-5 of the Exchange Act, and (iv) such person will act in good faith with respect to the 10b5-1 Plan throughout its duration. You must notify the Compliance Officer promptly via email and withdraw the certification if any changes of circumstances prior to the adoption date of the 10b5-1 Plan have or will render such certification to be inaccurate as of that time; and (e) the 10b5-1 Plan is not a single-trade 10b5-1 Plan adopted during the 12-month period immediately following the person’s adoption of another single-trade 10b5-1 Plan, subject to the exceptions noted in Rule 10b5-1, which are provided for you in the Appendix.</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Because Section 16 Persons, 10b5-1 Plan Designated Persons and Access Persons are more likely than other Covered Persons to receive access to material non-public information in their roles with PubMatic, they are permitted to adopt 10b5-1 Plans covering PubMatic’s securities (subject to meeting the requirements of this Policy). The Compliance Officer may expand or modify this list of permitted individuals.</w:t>
      </w:r>
    </w:p>
    <w:p>
      <w:pPr>
        <w:spacing w:after="0" w:line="14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If you seek preclearance and permission to engage in the transaction is denied, then you should refrain from initiating any transaction in PubMatic securities and you should not inform any other person of the denial.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Trading Arrangements</w:t>
      </w:r>
    </w:p>
    <w:p>
      <w:pPr>
        <w:spacing w:after="0" w:line="16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6"/>
          <w:szCs w:val="16"/>
          <w:color w:val="auto"/>
        </w:rPr>
        <w:t>Section 16 Persons and Access Persons are not allowed to enter into “</w:t>
      </w:r>
      <w:r>
        <w:rPr>
          <w:rFonts w:ascii="Times New Roman" w:cs="Times New Roman" w:eastAsia="Times New Roman" w:hAnsi="Times New Roman"/>
          <w:sz w:val="16"/>
          <w:szCs w:val="16"/>
          <w:b w:val="1"/>
          <w:bCs w:val="1"/>
          <w:color w:val="auto"/>
        </w:rPr>
        <w:t>non-Rule 10b5-1 trading arrangements</w:t>
      </w:r>
      <w:r>
        <w:rPr>
          <w:rFonts w:ascii="Times New Roman" w:cs="Times New Roman" w:eastAsia="Times New Roman" w:hAnsi="Times New Roman"/>
          <w:sz w:val="16"/>
          <w:szCs w:val="16"/>
          <w:color w:val="auto"/>
        </w:rPr>
        <w:t>” (as defined in Regulation S-K Item 408(c)) unless otherwise approved in advance by the Compliance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Priority of Statutory or Regulatory Trading Restrictions</w:t>
      </w:r>
    </w:p>
    <w:p>
      <w:pPr>
        <w:spacing w:after="0" w:line="1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The trading prohibitions and restrictions of this Policy are also subject to prohibitions or restrictions prescribed by contract or by federal and state securities laws and regulations (e.g., contractual restrictions on the resale of securities, short-swing trading by Section 16 Persons or compliance with Rule 144 under the Securities Act). Any Covered Person who is uncertain whether other prohibitions or restrictions apply should ask the Compliance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Reporting Violations; Inquiries</w:t>
      </w:r>
    </w:p>
    <w:p>
      <w:pPr>
        <w:spacing w:after="0" w:line="16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The Compliance Officer or his/her/their designee will review, and either approve or prohibit, any proposed trades in PubMatic securities as required under this Policy, including proposed trades by Section 16 Persons, 10b5-1 Plan Designated Persons and Access Persons. The Compliance Officer will administer and interpret this Policy, and enforce compliance as needed. The Compliance Officer may consult with PubMatic’s outside legal counsel as needed. The Compliance Officer may designate one or more individuals who may perform the Compliance Officer’s duties in the event that the Compliance Officer is unable or unavailable to perform such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309" w:right="319" w:bottom="1440" w:gutter="0" w:footer="0" w:header="0"/>
        </w:sectPr>
      </w:pPr>
    </w:p>
    <w:bookmarkStart w:id="132" w:name="page133"/>
    <w:bookmarkEnd w:id="132"/>
    <w:p>
      <w:pPr>
        <w:ind w:right="140"/>
        <w:spacing w:after="0" w:line="273" w:lineRule="auto"/>
        <w:rPr>
          <w:sz w:val="20"/>
          <w:szCs w:val="20"/>
          <w:color w:val="auto"/>
        </w:rPr>
      </w:pPr>
      <w:r>
        <w:rPr>
          <w:rFonts w:ascii="Times New Roman" w:cs="Times New Roman" w:eastAsia="Times New Roman" w:hAnsi="Times New Roman"/>
          <w:sz w:val="16"/>
          <w:szCs w:val="16"/>
          <w:color w:val="auto"/>
        </w:rPr>
        <w:t>Any Covered Person who violates this Policy or any federal or state laws governing insider trading or tipping, or knows of any such violation by any other Covered Person, must report the violation immediately to the Compliance Officer.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direct all inquiries about this Policy to the Compliance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Effective Date</w:t>
      </w:r>
    </w:p>
    <w:p>
      <w:pPr>
        <w:spacing w:after="0" w:line="16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effective date of this revised Policy is October 29, 2024. The amendments to this Policy would not apply to any existing 10b5-1 Plan that was entered into prior to the effective date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80"/>
          </w:cols>
          <w:pgMar w:left="300" w:top="1309" w:right="419" w:bottom="1440" w:gutter="0" w:footer="0" w:header="0"/>
        </w:sectPr>
      </w:pPr>
    </w:p>
    <w:bookmarkStart w:id="133" w:name="page134"/>
    <w:bookmarkEnd w:id="13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Defined Terms in the Insider Trading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10b5-1 Plan</w:t>
      </w:r>
      <w:r>
        <w:rPr>
          <w:rFonts w:ascii="Times New Roman" w:cs="Times New Roman" w:eastAsia="Times New Roman" w:hAnsi="Times New Roman"/>
          <w:sz w:val="16"/>
          <w:szCs w:val="16"/>
          <w:color w:val="auto"/>
        </w:rPr>
        <w:t>” means a written plan to trade securities that complies with the requirements of Rule 10b5-1 under the Exchange Act.</w:t>
      </w:r>
    </w:p>
    <w:p>
      <w:pPr>
        <w:spacing w:after="0" w:line="166" w:lineRule="exact"/>
        <w:rPr>
          <w:sz w:val="20"/>
          <w:szCs w:val="20"/>
          <w:color w:val="auto"/>
        </w:rPr>
      </w:pPr>
    </w:p>
    <w:p>
      <w:pPr>
        <w:ind w:right="220"/>
        <w:spacing w:after="0" w:line="3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10b5-1 Plan Designated Persons</w:t>
      </w:r>
      <w:r>
        <w:rPr>
          <w:rFonts w:ascii="Times New Roman" w:cs="Times New Roman" w:eastAsia="Times New Roman" w:hAnsi="Times New Roman"/>
          <w:sz w:val="14"/>
          <w:szCs w:val="14"/>
          <w:color w:val="auto"/>
        </w:rPr>
        <w:t>” means persons, other than Section 16 Persons, who have been designated by PubMatic as having regular access to material nonpublic information about PubMatic in the normal course of their duties. Special provisions of this Policy, such as 10b5-1 Plans for any trades, apply to 10b5-1 Plan Designated Persons.</w:t>
      </w:r>
    </w:p>
    <w:p>
      <w:pPr>
        <w:spacing w:after="0" w:line="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Access Persons</w:t>
      </w:r>
      <w:r>
        <w:rPr>
          <w:rFonts w:ascii="Times New Roman" w:cs="Times New Roman" w:eastAsia="Times New Roman" w:hAnsi="Times New Roman"/>
          <w:sz w:val="16"/>
          <w:szCs w:val="16"/>
          <w:color w:val="auto"/>
        </w:rPr>
        <w:t xml:space="preserve">” means persons, other than Section 16 Persons, who (i) have been designated by PubMatic as having regular access to material nonpublic information about PubMatic in the normal course of their duties or (ii) are listed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provided that no such person listed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that is a Section 16 Person should be considered an Access Person. Special provisions of this Policy, such as pre-approval of any trades, apply to Access Persons. The Compliance Officer may update and amend this list from time to time.</w:t>
      </w:r>
    </w:p>
    <w:p>
      <w:pPr>
        <w:spacing w:after="0" w:line="1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Blackout Period</w:t>
      </w:r>
      <w:r>
        <w:rPr>
          <w:rFonts w:ascii="Times New Roman" w:cs="Times New Roman" w:eastAsia="Times New Roman" w:hAnsi="Times New Roman"/>
          <w:sz w:val="16"/>
          <w:szCs w:val="16"/>
          <w:color w:val="auto"/>
        </w:rPr>
        <w:t>” means any special trading blackout period specially designated by the Compliance Officer. It may apply to particular individuals or groups of persons (including all Covered Persons), and last for such time as the Compliance Officer determines.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means PubMatic’s Board of Directors.</w:t>
      </w:r>
    </w:p>
    <w:p>
      <w:pPr>
        <w:spacing w:after="0" w:line="17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Compliance Officer</w:t>
      </w:r>
      <w:r>
        <w:rPr>
          <w:rFonts w:ascii="Times New Roman" w:cs="Times New Roman" w:eastAsia="Times New Roman" w:hAnsi="Times New Roman"/>
          <w:sz w:val="16"/>
          <w:szCs w:val="16"/>
          <w:color w:val="auto"/>
        </w:rPr>
        <w:t>” for this Policy refers to our General Counsel (or, if there is nobody with the General Counsel title, then the attorney in PubMatic’s legal function with the most senior role); in the absence of the General Counsel, our Chief Financial Officer may serve as Compliance Officer.</w:t>
      </w:r>
    </w:p>
    <w:p>
      <w:pPr>
        <w:spacing w:after="0" w:line="1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Cooling-Off Period</w:t>
      </w:r>
      <w:r>
        <w:rPr>
          <w:rFonts w:ascii="Times New Roman" w:cs="Times New Roman" w:eastAsia="Times New Roman" w:hAnsi="Times New Roman"/>
          <w:sz w:val="16"/>
          <w:szCs w:val="16"/>
          <w:color w:val="auto"/>
        </w:rPr>
        <w:t>” means the applicable waiting period for Covered Persons between the Compliance Officer’s approval of a 10b5-1 Plan and the first trade under such 10b5-1 Plan.</w:t>
      </w:r>
    </w:p>
    <w:p>
      <w:pPr>
        <w:spacing w:after="0" w:line="1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Covered Persons</w:t>
      </w:r>
      <w:r>
        <w:rPr>
          <w:rFonts w:ascii="Times New Roman" w:cs="Times New Roman" w:eastAsia="Times New Roman" w:hAnsi="Times New Roman"/>
          <w:sz w:val="14"/>
          <w:szCs w:val="14"/>
          <w:color w:val="auto"/>
        </w:rPr>
        <w:t>” refers to you, as well as your Family Members,; it also covers entities (such as partnerships, trusts and corporations) that are affiliated or associated with such persons, including venture capital funds, provided, however, that this Policy shall not apply to any entity that engages in the investment of securities in the ordinary course of its business (e.g., an investment fund or partnership) if such entity has established its own written insider trading controls and procedures in compliance with applicable securities laws, and such policy or policies have been provided or made available to PubMatic’s General Counsel (including any amendments thereto from time to time). An affiliate is someone who directly or indirectly controls or is controlled by, or is under common control with such person. An associate of a Covered Person is (1) a corporation or organization (other than PubMatic or a majority-owned subsidiary of PubMatic) of which such person is an officer or partner or is directly or indirectly the beneficial owner of 10% or more of any class of equity securities or (2) any trust in which such person has a substantial beneficial interest or as to which such person serves as trustee or in a similar capacity.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Securities Exchange Act of 1934, as amended from time to time.</w:t>
      </w:r>
    </w:p>
    <w:p>
      <w:pPr>
        <w:spacing w:after="0" w:line="177"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Family Members</w:t>
      </w:r>
      <w:r>
        <w:rPr>
          <w:rFonts w:ascii="Times New Roman" w:cs="Times New Roman" w:eastAsia="Times New Roman" w:hAnsi="Times New Roman"/>
          <w:sz w:val="16"/>
          <w:szCs w:val="16"/>
          <w:color w:val="auto"/>
        </w:rPr>
        <w:t>” means members of your family who reside with you (including a spouse, a child, a child away at college, stepchildren, grandchildren, parents, stepparents, grandparents, siblings and in-laws), anyone else who lives in your household, and any family members who do not live in your household but whose transactions in PubMatic securities are directed by you or are subject to your</w:t>
      </w:r>
    </w:p>
    <w:p>
      <w:pPr>
        <w:sectPr>
          <w:pgSz w:w="11900" w:h="16838" w:orient="portrait"/>
          <w:cols w:equalWidth="0" w:num="1">
            <w:col w:w="11240"/>
          </w:cols>
          <w:pgMar w:left="300" w:top="1307"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color w:val="auto"/>
        </w:rPr>
        <w:t>influence or control, such as parents or children who consult with you before they trade in PubMatic securities.</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Plan Modification</w:t>
      </w:r>
      <w:r>
        <w:rPr>
          <w:rFonts w:ascii="Times New Roman" w:cs="Times New Roman" w:eastAsia="Times New Roman" w:hAnsi="Times New Roman"/>
          <w:sz w:val="16"/>
          <w:szCs w:val="16"/>
          <w:color w:val="auto"/>
        </w:rPr>
        <w:t>” means modifying or changing the amount, price or timing of the purchase or sale of PubMatic securities underlying a 10b5-1 Plan (or a modification or change to a written formula or algorithm, or computer program that affects the amount, price or timing of the purchase or sale such of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means this PubMatic Insider Trading Policy, as adopted and amended from time to time by the Board.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means the U.S. Securities and Exchange Commission.</w:t>
      </w:r>
    </w:p>
    <w:p>
      <w:pPr>
        <w:spacing w:after="0" w:line="177"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Section 16 Persons</w:t>
      </w:r>
      <w:r>
        <w:rPr>
          <w:rFonts w:ascii="Times New Roman" w:cs="Times New Roman" w:eastAsia="Times New Roman" w:hAnsi="Times New Roman"/>
          <w:sz w:val="16"/>
          <w:szCs w:val="16"/>
          <w:color w:val="auto"/>
        </w:rPr>
        <w:t>” means the officers (as defined in Rule 16a-1(f) of the Exchange Act) of PubMatic and members of the Board, including the principal accounting officer (if separate from the principal financial officer). Special provisions of this Policy, such as 10b5-1 Plans for any trades, and special SEC reporting requirements, apply to Section 16 Persons.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means the Securities Act of 1933, as amended from time to time.</w:t>
      </w:r>
    </w:p>
    <w:p>
      <w:pPr>
        <w:spacing w:after="0" w:line="16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Trading Window</w:t>
      </w:r>
      <w:r>
        <w:rPr>
          <w:rFonts w:ascii="Times New Roman" w:cs="Times New Roman" w:eastAsia="Times New Roman" w:hAnsi="Times New Roman"/>
          <w:sz w:val="16"/>
          <w:szCs w:val="16"/>
          <w:color w:val="auto"/>
        </w:rPr>
        <w:t>” means the period when trading is normally permitted under this Policy. The Trading Window covers the period beginning after the close of trading on the next full trading day following our widespread public release of quarterly or year-end operating results, and ending at the close of trading on the fifth calendar day of the third month of the then-current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00" w:top="1309" w:right="359" w:bottom="1440" w:gutter="0" w:footer="0" w:header="0"/>
        </w:sectPr>
      </w:pPr>
    </w:p>
    <w:bookmarkStart w:id="135" w:name="page136"/>
    <w:bookmarkEnd w:id="135"/>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77"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6"/>
          <w:szCs w:val="16"/>
          <w:b w:val="1"/>
          <w:bCs w:val="1"/>
          <w:color w:val="auto"/>
        </w:rPr>
        <w:t>Access Persons</w:t>
      </w:r>
    </w:p>
    <w:p>
      <w:pPr>
        <w:spacing w:after="0" w:line="168" w:lineRule="exact"/>
        <w:rPr>
          <w:sz w:val="20"/>
          <w:szCs w:val="20"/>
          <w:color w:val="auto"/>
        </w:rPr>
      </w:pPr>
    </w:p>
    <w:p>
      <w:pPr>
        <w:ind w:left="260" w:hanging="255"/>
        <w:spacing w:after="0"/>
        <w:tabs>
          <w:tab w:leader="none" w:pos="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Employees of PubMatic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159"/>
          </w:cols>
          <w:pgMar w:left="300" w:top="1307"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Frequently Asked Questions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“material nonpublic information?”</w:t>
      </w:r>
    </w:p>
    <w:p>
      <w:pPr>
        <w:spacing w:after="0" w:line="168"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Information is considered “material” if a reasonable investor would consider that information important in making a decision to buy, hold or sell securities. In simple terms, material information is any type of information that could reasonably be expected to affect the market price of PubMatic’s securities. Both positive and negative information may be 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Although it is not possible to list all types of material information, the following types of information would often be considered material:</w:t>
      </w:r>
    </w:p>
    <w:p>
      <w:pPr>
        <w:spacing w:after="0" w:line="177"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financial performance, especially quarterly and year-end revenues and earnings, and significant changes in financial performance or liquidity;</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financial and operational forecasts, including projections of future earnings or losses, or other earnings guidance;</w:t>
      </w:r>
    </w:p>
    <w:p>
      <w:pPr>
        <w:spacing w:after="0" w:line="16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key operational metrics, such as net dollar-based retention, Adjusted EBITDA, performance metrics, financial metrics, and any changes in such metrics;</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significant cybersecurity incidents or data breaches;</w:t>
      </w:r>
    </w:p>
    <w:p>
      <w:pPr>
        <w:spacing w:after="0" w:line="16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customer, product, service, pricing, geography and market strategies and shifts;</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status of progress toward achieving business forecasts;</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potential tender offers, joint ventures, mergers, acquisitions, or material sales of assets or subsidiaries or other strategic transactions;</w:t>
      </w:r>
    </w:p>
    <w:p>
      <w:pPr>
        <w:spacing w:after="0" w:line="16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significant developments regarding customers, vendors, suppliers, partners or financing sources, such as the acquisition or loss of a significant contract;</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stock splits, public or private securities or debt offerings, or changes in dividend policies or amounts;</w:t>
      </w:r>
    </w:p>
    <w:p>
      <w:pPr>
        <w:spacing w:after="0" w:line="16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significant changes in senior management or the Board;</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entry into new strategic relationships, and cancellation of existing strategic relationships;</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introduction of new products and services or significant changes in products, services, research or technologies;</w:t>
      </w:r>
    </w:p>
    <w:p>
      <w:pPr>
        <w:spacing w:after="0" w:line="16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initiation or resolution of significant litigation or regulatory proceedings;</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potential defaults under credit agreements or indentures, or the existence of material liquidity deficiencies; and</w:t>
      </w:r>
    </w:p>
    <w:p>
      <w:pPr>
        <w:spacing w:after="0" w:line="16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potential restatements of financial statements, a change in auditors or notification that the auditor’s report may no longer be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FAQs-1</w:t>
      </w:r>
    </w:p>
    <w:p>
      <w:pPr>
        <w:sectPr>
          <w:pgSz w:w="11900" w:h="16838" w:orient="portrait"/>
          <w:cols w:equalWidth="0" w:num="1">
            <w:col w:w="11280"/>
          </w:cols>
          <w:pgMar w:left="300" w:top="1307" w:right="319" w:bottom="1440" w:gutter="0" w:footer="0" w:header="0"/>
        </w:sectPr>
      </w:pPr>
    </w:p>
    <w:bookmarkStart w:id="137" w:name="page138"/>
    <w:bookmarkEnd w:id="137"/>
    <w:p>
      <w:pPr>
        <w:ind w:right="80"/>
        <w:spacing w:after="0" w:line="346" w:lineRule="auto"/>
        <w:rPr>
          <w:sz w:val="20"/>
          <w:szCs w:val="20"/>
          <w:color w:val="auto"/>
        </w:rPr>
      </w:pPr>
      <w:r>
        <w:rPr>
          <w:rFonts w:ascii="Times New Roman" w:cs="Times New Roman" w:eastAsia="Times New Roman" w:hAnsi="Times New Roman"/>
          <w:sz w:val="14"/>
          <w:szCs w:val="14"/>
          <w:color w:val="auto"/>
        </w:rPr>
        <w:t>There is no bright-line standard for determining materiality; rather materiality is based on an assessment of the facts and circumstances, and is often evaluated by enforcement authorities with the benefit of hindsight. Even very small quantitative changes can be qualitatively material if they would result in a movement in the price of PubMatic’s securities.</w:t>
      </w:r>
    </w:p>
    <w:p>
      <w:pPr>
        <w:spacing w:after="0" w:line="7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6"/>
          <w:szCs w:val="16"/>
          <w:color w:val="auto"/>
        </w:rPr>
        <w:t>Information is “nonpublic” if it has not been widely disseminated to the public (e.g., through major newswire services, national news services, SEC Form 8-K or other filings, webcasts or financial news services). For the purposes of this Policy, information will be considered public, i.e., no longer “nonpublic,” only after the close of trading on the next full trading day following PubMatic’s widespread public release of the information. The circulation of rumors, even if accurate and reported in the media, does not constitute effective public dissemination.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Covered Persons who are unsure whether the information that they possess is material or nonpublic are encouraged to consult the Compliance Officer for guidance.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the penalties for failing to comply with the Policy?</w:t>
      </w:r>
    </w:p>
    <w:p>
      <w:pPr>
        <w:spacing w:after="0" w:line="17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The consequences of prohibited insider trading or tipping can be severe. Persons violating insider trading or tipping laws may be required to disgorge profits made or losses avoided by trading, pay the loss suffered by the persons who purchased securities from or sold securities to the insider tipper, pay civil penalties of up to three times the profit made, or loss avoided, pay a criminal penalty of up to $5 million and serve a prison term of up to 20 years. PubMatic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PubMatic’s control.</w:t>
      </w:r>
    </w:p>
    <w:p>
      <w:pPr>
        <w:spacing w:after="0" w:line="15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Violation of this Policy, or federal or state securities laws governing insider trading, may subject the violator to disciplinary action by PubMatic up to and including termination of employment for cause (in the case of an employee or further service in the case of a contractor) or removal proceedings (in the case of a Board member). A violation of this Policy is not necessarily the same as a violation of law. In fact, for the reasons indicated above, this Policy is intended to be broader than the law. PubMatic reserves the right to determine, in its own discretion and on the basis of the information available to it, whether this Policy has been violated. PubMatic may determine that specific conduct violates this Policy, whether or not the conduct also violates the law. It is not necessary for PubMatic to await the filing or conclusion of a civil or criminal action against the alleged violator before taking disciplinary action.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these FAQs part of the Insider Trading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 these FAQs are part of the Policy, and you must comply with their provisions.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does the Policy apply to trades under PubMatic’s Equity Incentive Plan?</w:t>
      </w:r>
    </w:p>
    <w:p>
      <w:pPr>
        <w:spacing w:after="0" w:line="17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6"/>
          <w:szCs w:val="16"/>
          <w:color w:val="auto"/>
        </w:rPr>
        <w:t>The trading prohibitions and restrictions of this Policy do not apply to the exercise of a stock option with cash, or settlement of a restricted stock unit, or to automatic tax withholding. The trading prohibitions and restrictions of this Policy do apply to the use of outstanding PubMatic securities to serve as all or a portion of the exercise price of any stock option or to net-exercise an option (if permitted). Sales of PubMatic securities acquired under that plan are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FAQs-2</w:t>
      </w:r>
    </w:p>
    <w:p>
      <w:pPr>
        <w:sectPr>
          <w:pgSz w:w="11900" w:h="16838" w:orient="portrait"/>
          <w:cols w:equalWidth="0" w:num="1">
            <w:col w:w="11280"/>
          </w:cols>
          <w:pgMar w:left="300" w:top="1309"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color w:val="auto"/>
        </w:rPr>
        <w:t>I know trades in PubMatic securities are not permitted in a closed Trading Window. Can I still exercise a stock option if I am not going to sell any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 For clarity, the exercise of a vested stock option, not accompanied by a sale, is not considered a “trade” under this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does the Policy apply to trades under PubMatic’s Employee Stock Purchase Plan?</w:t>
      </w:r>
    </w:p>
    <w:p>
      <w:pPr>
        <w:spacing w:after="0" w:line="17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trading prohibitions and restrictions of this Policy do not apply to periodic wage withholding contributions to the 2020 Employee Stock Purchase Plan or any successor employee stock purchase plan that are used to purchase PubMatic securities under that plan (or the purchases made under the plan in accordance with its terms). However, no Covered Persons may alter his/her/their instructions about the level of withholding or purchase of PubMatic securities under that plan while in the possession of material nonpublic information about PubMatic, or during a Blackout Period. Sales of PubMatic securities acquired under that plan are subject to this Policy.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does the Policy apply to tax withholding arrangements?</w:t>
      </w:r>
    </w:p>
    <w:p>
      <w:pPr>
        <w:spacing w:after="0" w:line="17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6"/>
          <w:szCs w:val="16"/>
          <w:color w:val="auto"/>
        </w:rPr>
        <w:t>The trading prohibitions and restrictions of this Policy do apply to any elective tax withholding right (i.e., pursuant to which an election has been made to have PubMatic withhold shares subject to such awards to satisfy tax withholding requirements), as well as to any sales of PubMatic securities, including as part of a broker-assisted cashless exercise of an option, or any other market sale (e.g., a “sell to cover” sale) for the purpose of generating the cash needed to pay the exercise price of an option or satisfy tax withholding requirements. The trading prohibitions and restrictions of this Policy do not apply to any automatic tax withholding (i.e., pursuant to which the withholding method has been determined in advance of the tax withholding event).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the procedures for getting approval of a proposed trade in compliance with the Policy?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Section 16 Person, 10b5-1 Plan Designated Persons or Access Person may trade in PubMatic securities until the following steps are completed:</w:t>
      </w:r>
    </w:p>
    <w:p>
      <w:pPr>
        <w:spacing w:after="0" w:line="177" w:lineRule="exact"/>
        <w:rPr>
          <w:sz w:val="20"/>
          <w:szCs w:val="20"/>
          <w:color w:val="auto"/>
        </w:rPr>
      </w:pPr>
    </w:p>
    <w:p>
      <w:pPr>
        <w:ind w:left="520" w:hanging="260"/>
        <w:spacing w:after="0" w:line="272" w:lineRule="auto"/>
        <w:tabs>
          <w:tab w:leader="none" w:pos="523" w:val="left"/>
        </w:tabs>
        <w:numPr>
          <w:ilvl w:val="0"/>
          <w:numId w:val="43"/>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Section 16 Persons and 10b5-1 Plan Designated Persons are strongly encouraged to prepare a 10b5-1 Plan and provide it to the Compliance Officer for review and approval at least three business days prior to the closing of the Trading Window.</w:t>
      </w:r>
    </w:p>
    <w:p>
      <w:pPr>
        <w:spacing w:after="0" w:line="121" w:lineRule="exact"/>
        <w:rPr>
          <w:rFonts w:ascii="Calibri" w:cs="Calibri" w:eastAsia="Calibri" w:hAnsi="Calibri"/>
          <w:sz w:val="16"/>
          <w:szCs w:val="16"/>
          <w:color w:val="010000"/>
        </w:rPr>
      </w:pPr>
    </w:p>
    <w:p>
      <w:pPr>
        <w:ind w:left="520" w:right="60" w:hanging="260"/>
        <w:spacing w:after="0" w:line="272" w:lineRule="auto"/>
        <w:tabs>
          <w:tab w:leader="none" w:pos="520" w:val="left"/>
        </w:tabs>
        <w:numPr>
          <w:ilvl w:val="0"/>
          <w:numId w:val="43"/>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Access Persons, Section 16 Persons, and 10b5-1 Plan Designated Persons must provide advance notification to the Compliance Officer in writing of the amount and nature of the proposed trade. The form of application to initiate this process is available on Okta or by emailing stockadmin@pubmatic.com.</w:t>
      </w:r>
    </w:p>
    <w:p>
      <w:pPr>
        <w:spacing w:after="0" w:line="121" w:lineRule="exact"/>
        <w:rPr>
          <w:rFonts w:ascii="Calibri" w:cs="Calibri" w:eastAsia="Calibri" w:hAnsi="Calibri"/>
          <w:sz w:val="16"/>
          <w:szCs w:val="16"/>
          <w:color w:val="010000"/>
        </w:rPr>
      </w:pPr>
    </w:p>
    <w:p>
      <w:pPr>
        <w:jc w:val="both"/>
        <w:ind w:left="520" w:right="120" w:hanging="260"/>
        <w:spacing w:after="0" w:line="252" w:lineRule="auto"/>
        <w:tabs>
          <w:tab w:leader="none" w:pos="514" w:val="left"/>
        </w:tabs>
        <w:numPr>
          <w:ilvl w:val="0"/>
          <w:numId w:val="43"/>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person trading has certified to the Compliance Officer in writing no earlier than three business days prior to the proposed trade or prior to entering into a 10b5-1 Plan, as applicable, that (i) such person is not in possession of material nonpublic information concerning PubMatic and, to such person’s knowledge, such person will not be in possession of material nonpublic information concerning PubMatic on the date of the proposed trade and (ii) the proposed trade does not violate the trading restrictions of Section 16 of the Exchange Act, Rule 144 of the Securities Act (if applicable) or any other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FAQs-3</w:t>
      </w:r>
    </w:p>
    <w:p>
      <w:pPr>
        <w:sectPr>
          <w:pgSz w:w="11900" w:h="16838" w:orient="portrait"/>
          <w:cols w:equalWidth="0" w:num="1">
            <w:col w:w="11220"/>
          </w:cols>
          <w:pgMar w:left="300" w:top="1307" w:right="379" w:bottom="1440" w:gutter="0" w:footer="0" w:header="0"/>
        </w:sectPr>
      </w:pPr>
    </w:p>
    <w:bookmarkStart w:id="139" w:name="page140"/>
    <w:bookmarkEnd w:id="139"/>
    <w:p>
      <w:pPr>
        <w:ind w:left="520" w:right="340" w:hanging="260"/>
        <w:spacing w:after="0" w:line="272" w:lineRule="auto"/>
        <w:tabs>
          <w:tab w:leader="none" w:pos="520" w:val="left"/>
        </w:tabs>
        <w:numPr>
          <w:ilvl w:val="0"/>
          <w:numId w:val="44"/>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Compliance Officer has approved the trade or 10b5-1 Plan in writing including via email. The Compliance Officer is not obligated to approve any trades or 10b5-1 Plans requested by any person.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 a gift of PubMatic stock covered by the Policy?</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Yes. A Covered Person may not make a gift, charitable contribution or other transfer without consideration, of PubMatic securities during a period when that Covered Person is not permitted to trade. In addition, Section 16 Persons and 10b5-1 Plan Designated Persons must notify the Compliance Officer of any such gifts or transfers.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 a distribution of PubMatic stock to the limited partners of a partnership covered by the Policy?</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Yes. An entity over which a Covered Person has or shares voting or investment control may not distribute PubMatic securities to its limited partners, general partners or stockholders during a period when the Covered Person is not permitted to trade, unless the limited partners, general partners or stockholders of that entity have agreed in writing to hold the securities until the next open Trading Window.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 a purchase of PubMatic stock considered a “trade” under the Policy? Or only sales of PubMatic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Both purchases and sales of PubMatic stock are considered “trades” under the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transactions in derivative securities covered by the Policy?</w:t>
      </w:r>
    </w:p>
    <w:p>
      <w:pPr>
        <w:spacing w:after="0" w:line="168"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6"/>
          <w:szCs w:val="16"/>
          <w:color w:val="auto"/>
        </w:rPr>
        <w:t>Yes. No Covered Person may acquire, sell, trade or participate in any interest or position relating to the future price of PubMatic securities, such as a put option, a call option, or a short sale (including a short sale “against the box”).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a short sale, and what is a short sale “against the box?”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short sale is a sale of securities that you do not own (i.e. borrowed securities). A short sale “against the box” is a sale of securities you own, but with delayed delivery.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contributions to exchange funds covered by this Policy?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 No Covered Person may contribute PubMatic securities to exchange funds that could be interpreted as having the effect of hedging in PubMatic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standing and limit orders covered by the Policy?</w:t>
      </w:r>
    </w:p>
    <w:p>
      <w:pPr>
        <w:spacing w:after="0" w:line="1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Unless part of a 10b5-1 Plan, standing or limit orders should be used only for a very brief period of time, if at all. A standing order placed with a broker to sell or purchase PubMatic stock at a specified minimum or maximum price leaves you with no control over the timing of the transaction. The limit order could be executed by the broker when you are aware of material nonpublic information, which would result in unlawful insider trading. Irrespective, for Covered Persons they cannot extend beyond the Trading Window and for Access Persons, they cannot extend beyond the preclearance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FAQs-4</w:t>
      </w:r>
    </w:p>
    <w:p>
      <w:pPr>
        <w:sectPr>
          <w:pgSz w:w="11900" w:h="16838" w:orient="portrait"/>
          <w:cols w:equalWidth="0" w:num="1">
            <w:col w:w="11280"/>
          </w:cols>
          <w:pgMar w:left="300" w:top="1309"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color w:val="auto"/>
        </w:rPr>
        <w:t>Can I hold PubMatic securities in a margin account?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PubMatic securities, you are prohibited from holding PubMatic securities in a margin account or pledging PubMatic securities as collateral for a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Under what circumstances can I pledge PubMatic securities as collateral for a loan?</w:t>
      </w:r>
    </w:p>
    <w:p>
      <w:pPr>
        <w:spacing w:after="0" w:line="1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An exception to the prohibition on using PubMatic securities as collateral for a loan (not including margin debt) may be granted by the Compliance Officer where you have clearly demonstrated the financial capacity to repay the loan without resort to the pledged securities. If you wish to pledge PubMatic securities as collateral for a loan, you must submit a request for approval to the Compliance Officer at least two weeks prior to the proposed execution of documents evidencing the proposed pledge.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 have a hardship or other urgent need to sell PubMatic securities, or exercise a stock option so I can sell some PubMatic securities. Is that okay?</w:t>
      </w:r>
    </w:p>
    <w:p>
      <w:pPr>
        <w:spacing w:after="0" w:line="168" w:lineRule="exact"/>
        <w:rPr>
          <w:sz w:val="20"/>
          <w:szCs w:val="20"/>
          <w:color w:val="auto"/>
        </w:rPr>
      </w:pPr>
    </w:p>
    <w:p>
      <w:pPr>
        <w:ind w:right="60"/>
        <w:spacing w:after="0" w:line="346" w:lineRule="auto"/>
        <w:rPr>
          <w:sz w:val="20"/>
          <w:szCs w:val="20"/>
          <w:color w:val="auto"/>
        </w:rPr>
      </w:pPr>
      <w:r>
        <w:rPr>
          <w:rFonts w:ascii="Times New Roman" w:cs="Times New Roman" w:eastAsia="Times New Roman" w:hAnsi="Times New Roman"/>
          <w:sz w:val="14"/>
          <w:szCs w:val="14"/>
          <w:color w:val="auto"/>
        </w:rPr>
        <w:t>It does not matter that there may exist a justifiable reason for a purchase or sale apart from the nonpublic information; if the Covered Person has material nonpublic information, the prohibition still applies. Insider trading is transaction specific and the securities laws and related rules and regulations do not recognize any mitigating circumstances.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 know that disclosures of material nonpublic information are prohibited under the Policy; is it okay if I monitor or participate in a chat room?</w:t>
      </w:r>
    </w:p>
    <w:p>
      <w:pPr>
        <w:spacing w:after="0" w:line="168" w:lineRule="exact"/>
        <w:rPr>
          <w:sz w:val="20"/>
          <w:szCs w:val="20"/>
          <w:color w:val="auto"/>
        </w:rPr>
      </w:pPr>
    </w:p>
    <w:p>
      <w:pPr>
        <w:ind w:right="520"/>
        <w:spacing w:after="0" w:line="254" w:lineRule="auto"/>
        <w:rPr>
          <w:sz w:val="20"/>
          <w:szCs w:val="20"/>
          <w:color w:val="auto"/>
        </w:rPr>
      </w:pPr>
      <w:r>
        <w:rPr>
          <w:rFonts w:ascii="Times New Roman" w:cs="Times New Roman" w:eastAsia="Times New Roman" w:hAnsi="Times New Roman"/>
          <w:sz w:val="16"/>
          <w:szCs w:val="16"/>
          <w:color w:val="auto"/>
        </w:rPr>
        <w:t>No. A Covered Person may not participate, in any manner other than passive observation, in any investment or stock-related Internet “chat” rooms, blogs, social media sites, message boards or other similar online forums relating to PubMatic without the prior approval of the Compliance Officer and in compliance with PubMatic’s Corporate Communications and Social Media Policies and any other applicable policy.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the procedures for trading under a 10b5-1 Plan?</w:t>
      </w:r>
    </w:p>
    <w:p>
      <w:pPr>
        <w:spacing w:after="0" w:line="17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In addition to the procedures for trades not under a 10b5-1 Plan, the person seeking to trade under a 10b5-1 Plan must put in place such a plan that complies with the requirements of Rule 10b5-1 under the Exchange Act. Compliance Officer approval of a 10b5-1 Plan shall not be considered a determination by PubMatic or the Compliance Officer that the 10b5-1 Plan satisfies the requirements of Rule 10b5-1. PubMatic reserves the right to prevent any transactions in PubMatic securities, even those pursuant to a 10b5-1 Plan, in the sole discretion of the Compliance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trades shall be treated as having been made pursuant to a 10b5-1 Plan under this Policy unless:</w:t>
      </w:r>
    </w:p>
    <w:p>
      <w:pPr>
        <w:spacing w:after="0" w:line="166" w:lineRule="exact"/>
        <w:rPr>
          <w:sz w:val="20"/>
          <w:szCs w:val="20"/>
          <w:color w:val="auto"/>
        </w:rPr>
      </w:pPr>
    </w:p>
    <w:p>
      <w:pPr>
        <w:ind w:left="520" w:hanging="260"/>
        <w:spacing w:after="0"/>
        <w:tabs>
          <w:tab w:leader="none" w:pos="520" w:val="left"/>
        </w:tabs>
        <w:numPr>
          <w:ilvl w:val="0"/>
          <w:numId w:val="45"/>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10b5-1 Plan complies with the requirements of Rule 10b5-1;</w:t>
      </w:r>
    </w:p>
    <w:p>
      <w:pPr>
        <w:spacing w:after="0" w:line="176" w:lineRule="exact"/>
        <w:rPr>
          <w:rFonts w:ascii="Calibri" w:cs="Calibri" w:eastAsia="Calibri" w:hAnsi="Calibri"/>
          <w:sz w:val="16"/>
          <w:szCs w:val="16"/>
          <w:color w:val="010000"/>
        </w:rPr>
      </w:pPr>
    </w:p>
    <w:p>
      <w:pPr>
        <w:ind w:left="520" w:hanging="260"/>
        <w:spacing w:after="0"/>
        <w:tabs>
          <w:tab w:leader="none" w:pos="520" w:val="left"/>
        </w:tabs>
        <w:numPr>
          <w:ilvl w:val="0"/>
          <w:numId w:val="45"/>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10b5-1 Plan is approved by the Compliance Officer in writing and is entered into during an open Trading Window and not during any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FAQs-5</w:t>
      </w:r>
    </w:p>
    <w:p>
      <w:pPr>
        <w:sectPr>
          <w:pgSz w:w="11900" w:h="16838" w:orient="portrait"/>
          <w:cols w:equalWidth="0" w:num="1">
            <w:col w:w="11280"/>
          </w:cols>
          <w:pgMar w:left="300" w:top="1307" w:right="319" w:bottom="1440" w:gutter="0" w:footer="0" w:header="0"/>
        </w:sectPr>
      </w:pPr>
    </w:p>
    <w:bookmarkStart w:id="141" w:name="page142"/>
    <w:bookmarkEnd w:id="141"/>
    <w:p>
      <w:pPr>
        <w:ind w:left="520" w:right="60" w:hanging="260"/>
        <w:spacing w:after="0" w:line="247" w:lineRule="auto"/>
        <w:tabs>
          <w:tab w:leader="none" w:pos="514" w:val="left"/>
        </w:tabs>
        <w:numPr>
          <w:ilvl w:val="0"/>
          <w:numId w:val="46"/>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first trade under the 10b5-1 Plan does not occur (i) for a Section 16 Person: until the later of (A) 90 days after the adoption of the 10b5-1 Plan and (B) two business days following the disclosure of PubMatic’s financial results in a Form 10-Q or Form 10-K for the completed fiscal quarter in which the 10b5-1 Plan was adopted that discloses PubMatic’s financial results (but not to exceed 120 days following the adoption of the 10b5-1 Plan); and (ii) for persons other than Section 16 Persons: at least 30 days after adoption of the 10b5-1 Plan, in each case, following the Compliance Officer’s approval of the 10b5-1 Plan (such waiting periods are collectively referred to as the “</w:t>
      </w:r>
      <w:r>
        <w:rPr>
          <w:rFonts w:ascii="Times New Roman" w:cs="Times New Roman" w:eastAsia="Times New Roman" w:hAnsi="Times New Roman"/>
          <w:sz w:val="16"/>
          <w:szCs w:val="16"/>
          <w:b w:val="1"/>
          <w:bCs w:val="1"/>
          <w:color w:val="auto"/>
        </w:rPr>
        <w:t>Cooling-Off Period</w:t>
      </w:r>
      <w:r>
        <w:rPr>
          <w:rFonts w:ascii="Times New Roman" w:cs="Times New Roman" w:eastAsia="Times New Roman" w:hAnsi="Times New Roman"/>
          <w:sz w:val="16"/>
          <w:szCs w:val="16"/>
          <w:color w:val="auto"/>
        </w:rPr>
        <w:t>”); and</w:t>
      </w:r>
    </w:p>
    <w:p>
      <w:pPr>
        <w:spacing w:after="0" w:line="155" w:lineRule="exact"/>
        <w:rPr>
          <w:rFonts w:ascii="Calibri" w:cs="Calibri" w:eastAsia="Calibri" w:hAnsi="Calibri"/>
          <w:sz w:val="16"/>
          <w:szCs w:val="16"/>
          <w:color w:val="010000"/>
        </w:rPr>
      </w:pPr>
    </w:p>
    <w:p>
      <w:pPr>
        <w:ind w:left="520" w:hanging="260"/>
        <w:spacing w:after="0" w:line="250" w:lineRule="auto"/>
        <w:tabs>
          <w:tab w:leader="none" w:pos="520" w:val="left"/>
        </w:tabs>
        <w:numPr>
          <w:ilvl w:val="0"/>
          <w:numId w:val="46"/>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person establishing the 10b5-1 Plan has certified to the Compliance Officer in writing, no earlier than three business days prior to the date that the 10b5-1 Plan is formally established (and shall not have withdrawn such certification prior to such establishment), that as of such date and as of the adoption date of the 10b5-1 Plan, (i) such person is not and, to such person’s knowledge, will not be, aware of material nonpublic information concerning PubMatic, (ii) all such trades to be made pursuant to the 10b5-1 Plan will be made in accordance with the trading restrictions of Section 16 of the Exchange Act and Rule 144 of the Securities Act to the extent such Sections are applicable , (iii) such person is adopting the 10b5-1 Plan in good faith and not as part of a plan or scheme to evade the prohibitions of Section 10(b) of the Exchange Act and Rule 10b-5 of the Exchange Act, and (iv) such person will act in good faith with respect to the 10b5-1 Plan throughout its duration. You must notify the Compliance Officer promptly via email and withdraw the certification if any changes of circumstances prior to the adoption date of the 10b5-1 Plan have or will render such certification to be inaccurate as of that time; and</w:t>
      </w:r>
    </w:p>
    <w:p>
      <w:pPr>
        <w:spacing w:after="0" w:line="152" w:lineRule="exact"/>
        <w:rPr>
          <w:rFonts w:ascii="Calibri" w:cs="Calibri" w:eastAsia="Calibri" w:hAnsi="Calibri"/>
          <w:sz w:val="16"/>
          <w:szCs w:val="16"/>
          <w:color w:val="010000"/>
        </w:rPr>
      </w:pPr>
    </w:p>
    <w:p>
      <w:pPr>
        <w:ind w:left="520" w:right="360" w:hanging="260"/>
        <w:spacing w:after="0" w:line="258" w:lineRule="auto"/>
        <w:tabs>
          <w:tab w:leader="none" w:pos="515" w:val="left"/>
        </w:tabs>
        <w:numPr>
          <w:ilvl w:val="0"/>
          <w:numId w:val="46"/>
        </w:numPr>
        <w:rPr>
          <w:rFonts w:ascii="Calibri" w:cs="Calibri" w:eastAsia="Calibri" w:hAnsi="Calibri"/>
          <w:sz w:val="16"/>
          <w:szCs w:val="16"/>
          <w:color w:val="010000"/>
        </w:rPr>
      </w:pPr>
      <w:r>
        <w:rPr>
          <w:rFonts w:ascii="Times New Roman" w:cs="Times New Roman" w:eastAsia="Times New Roman" w:hAnsi="Times New Roman"/>
          <w:sz w:val="16"/>
          <w:szCs w:val="16"/>
          <w:color w:val="auto"/>
        </w:rPr>
        <w:t>the 10b5-1 Plan is not a single trade 10b5-1 Plan adopted during the 12-month period immediately following the person’s adoption of another single trade 10b5-1 Plan, subject to the exceptions noted in Rule 10b5-1, which are provided for you in the Appendix.</w:t>
      </w:r>
    </w:p>
    <w:p>
      <w:pPr>
        <w:spacing w:after="0" w:line="144"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6"/>
          <w:szCs w:val="16"/>
          <w:color w:val="auto"/>
        </w:rPr>
        <w:t>The Compliance Officer is not obligated to approve any trades requested by any person, or to approve any 10b5-1 Plan. When approval is sought, there is no set timeline for how long such approval might take.</w:t>
      </w:r>
    </w:p>
    <w:p>
      <w:pPr>
        <w:spacing w:after="0" w:line="12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The establishment and implementation of any 10b5-1 Plan shall be the sole responsibility of the person seeking to establish such a plan. Approval of a 10b5-1 Plan by the Compliance Officer and/or acknowledgement of a 10b5-1 Plan by PubMatic shall not be considered a determination by PubMatic or the Compliance Officer that the 10b5-1 Plan satisfies the requirements of Rule 10b5-1.</w:t>
      </w:r>
    </w:p>
    <w:p>
      <w:pPr>
        <w:spacing w:after="0" w:line="14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Once an approved 10b5-1 Plan is in place, an individual will need approval from the Compliance Officer to make certain changes to it. Modifying or changing the amount, price or timing of the purchase or sale of PubMatic securities underlying the 10b5-1 Plan (or a modification or change to a written formula or algorithm, or computer program that affects the amount, price or timing of the purchase or sale of such securities) (any such modification or change, a “</w:t>
      </w:r>
      <w:r>
        <w:rPr>
          <w:rFonts w:ascii="Times New Roman" w:cs="Times New Roman" w:eastAsia="Times New Roman" w:hAnsi="Times New Roman"/>
          <w:sz w:val="16"/>
          <w:szCs w:val="16"/>
          <w:b w:val="1"/>
          <w:bCs w:val="1"/>
          <w:color w:val="auto"/>
        </w:rPr>
        <w:t>Plan Modification</w:t>
      </w:r>
      <w:r>
        <w:rPr>
          <w:rFonts w:ascii="Times New Roman" w:cs="Times New Roman" w:eastAsia="Times New Roman" w:hAnsi="Times New Roman"/>
          <w:sz w:val="16"/>
          <w:szCs w:val="16"/>
          <w:color w:val="auto"/>
        </w:rPr>
        <w:t>”) will be deemed to be the same as terminating the existing 10b5-1 Plan and entering into a new 10b5-1 Plan. As a result, the approval process for a Plan Modification is the same as the approval process for initially adopting a 10b5-1 Plan, including being subject to a new Cooling-Off Period. Plan Modifications can only be made during a Trading Window and not during any Blackout Period and only when you are not in possession of material nonpublic information. PubMatic discourages more than one modification to any 10b5-1 Plan per year. For other modifications to a 10b5-1 Plan, the Compliance Officer must be notified of such modification in writing at least three business days prior to the modification and such modification must be approved by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FAQs-6</w:t>
      </w:r>
    </w:p>
    <w:p>
      <w:pPr>
        <w:sectPr>
          <w:pgSz w:w="11900" w:h="16838" w:orient="portrait"/>
          <w:cols w:equalWidth="0" w:num="1">
            <w:col w:w="11280"/>
          </w:cols>
          <w:pgMar w:left="300" w:top="1309" w:right="319" w:bottom="1440" w:gutter="0" w:footer="0" w:header="0"/>
        </w:sectPr>
      </w:pPr>
    </w:p>
    <w:bookmarkStart w:id="142" w:name="page143"/>
    <w:bookmarkEnd w:id="142"/>
    <w:p>
      <w:pPr>
        <w:ind w:right="40"/>
        <w:spacing w:after="0" w:line="273" w:lineRule="auto"/>
        <w:rPr>
          <w:sz w:val="20"/>
          <w:szCs w:val="20"/>
          <w:color w:val="auto"/>
        </w:rPr>
      </w:pPr>
      <w:r>
        <w:rPr>
          <w:rFonts w:ascii="Times New Roman" w:cs="Times New Roman" w:eastAsia="Times New Roman" w:hAnsi="Times New Roman"/>
          <w:sz w:val="16"/>
          <w:szCs w:val="16"/>
          <w:color w:val="auto"/>
        </w:rPr>
        <w:t>A 10b5-1 Plan may be terminated with immediate effect provided such request for termination has been approved by the Compliance Officer. Once a 10b5-1 Plan is terminated, any new plan adopted post-termination must meet the requirements above for new 10b5-1 Plans.</w:t>
      </w:r>
    </w:p>
    <w:p>
      <w:pPr>
        <w:spacing w:after="0" w:line="12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An individual may have no more than one 10b5-1 Plan adopted at any point in time (i.e., multiple concurrent or overlapping plans are prohibited), subject to the exceptions noted in Rule 10b5-1, which are provided for you in the Appendix. One of these exceptions is for plans authorizing certain “sell-to-cover” transactions.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a 10b5-1 Plan is adopted, the person must not exercise any influence over the amount of securities to be traded, the price at which they are to be traded or the date of the trade.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10b5-1 Plan must either:</w:t>
      </w:r>
    </w:p>
    <w:p>
      <w:pPr>
        <w:spacing w:after="0" w:line="165" w:lineRule="exact"/>
        <w:rPr>
          <w:sz w:val="20"/>
          <w:szCs w:val="20"/>
          <w:color w:val="auto"/>
        </w:rPr>
      </w:pPr>
    </w:p>
    <w:p>
      <w:pPr>
        <w:ind w:left="500" w:hanging="240"/>
        <w:spacing w:after="0"/>
        <w:tabs>
          <w:tab w:leader="none" w:pos="50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Clearly specify in advance the amount, pricing and timing of transactions (including by formula or algorithm), or</w:t>
      </w:r>
    </w:p>
    <w:p>
      <w:pPr>
        <w:spacing w:after="0" w:line="166" w:lineRule="exact"/>
        <w:rPr>
          <w:rFonts w:ascii="Times New Roman" w:cs="Times New Roman" w:eastAsia="Times New Roman" w:hAnsi="Times New Roman"/>
          <w:sz w:val="11"/>
          <w:szCs w:val="11"/>
          <w:color w:val="auto"/>
        </w:rPr>
      </w:pPr>
    </w:p>
    <w:p>
      <w:pPr>
        <w:ind w:left="520" w:right="160" w:hanging="260"/>
        <w:spacing w:after="0" w:line="346" w:lineRule="auto"/>
        <w:tabs>
          <w:tab w:leader="none" w:pos="514"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Delegate discretion on those matters to an independent third party (such as a securities broker or investment manager). Of course, the independent third party cannot make discretionary investment decisions on behalf of the individual while the independent third party is in possession of material nonpublic information about PubMatic.</w:t>
      </w:r>
    </w:p>
    <w:p>
      <w:pPr>
        <w:spacing w:after="0" w:line="77"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6"/>
          <w:szCs w:val="16"/>
          <w:color w:val="auto"/>
        </w:rPr>
        <w:t>Unless otherwise approved by the Compliance Officer and Chief Financial Officer, all 10b5-1 Plans must be implemented through a broker included in a list approved by the Compliance Officer. The Compliance Officer may amend this list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my obligations once I am no longer providing services to PubMatic?</w:t>
      </w:r>
    </w:p>
    <w:p>
      <w:pPr>
        <w:spacing w:after="0" w:line="16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This Policy will continue to apply to you for a period of time following the termination of your employment or service relationship with PubMatic. Subject to any additional terms, condition or restrictions that may be set forth in an agreement between you and PubMatic, this Policy will apply to you until the later of (1) 90 days following the termination of your employment or service relationship with PubMatic or (2) the close of trading on the next full trading day following such time as any you are no longer in possession of any material nonpublic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does the Policy apply to trades by the Compliance Officer?</w:t>
      </w:r>
    </w:p>
    <w:p>
      <w:pPr>
        <w:spacing w:after="0" w:line="16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Compliance Officer may not trade in PubMatic securities unless the trade is pursuant to a permitted 10b5-1 Plan or has been approved by PubMatic’s Chief Financial Officer (or Chief Executive Officer if the Compliance Officer is the Chief Financial Officer) in accordance with this Policy.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additional duties does the Compliance Officer have?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duties of the Compliance Officer specified in this Policy, the Compliance Officer, or its designee, shall:</w:t>
      </w:r>
    </w:p>
    <w:p>
      <w:pPr>
        <w:spacing w:after="0" w:line="166" w:lineRule="exact"/>
        <w:rPr>
          <w:sz w:val="20"/>
          <w:szCs w:val="20"/>
          <w:color w:val="auto"/>
        </w:rPr>
      </w:pPr>
    </w:p>
    <w:p>
      <w:pPr>
        <w:ind w:left="500" w:hanging="240"/>
        <w:spacing w:after="0"/>
        <w:tabs>
          <w:tab w:leader="none" w:pos="50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Respond to inquiries relating to this Policy and its procedures.</w:t>
      </w:r>
    </w:p>
    <w:p>
      <w:pPr>
        <w:spacing w:after="0" w:line="176"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Designate and announce special trading Blackout Periods during which Covered Persons may not trade in PubMatic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FAQs-7</w:t>
      </w:r>
    </w:p>
    <w:p>
      <w:pPr>
        <w:sectPr>
          <w:pgSz w:w="11900" w:h="16838" w:orient="portrait"/>
          <w:cols w:equalWidth="0" w:num="1">
            <w:col w:w="11280"/>
          </w:cols>
          <w:pgMar w:left="300" w:top="1309" w:right="319" w:bottom="1440" w:gutter="0" w:footer="0" w:header="0"/>
        </w:sectPr>
      </w:pPr>
    </w:p>
    <w:bookmarkStart w:id="143" w:name="page144"/>
    <w:bookmarkEnd w:id="143"/>
    <w:p>
      <w:pPr>
        <w:ind w:left="260" w:right="80" w:hanging="260"/>
        <w:spacing w:after="0" w:line="346" w:lineRule="auto"/>
        <w:tabs>
          <w:tab w:leader="none" w:pos="254"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Revise this Policy as necessary to reflect changes in federal or state laws and regulations, subject to approval by the Board or a duly authorized committee thereof. The list of individuals who may adopt 10b5-1 Plans, the list of 10b5-1 Plan Designated Persons, and the list of Access Persons may be amended by the Compliance Officer.</w:t>
      </w:r>
    </w:p>
    <w:p>
      <w:pPr>
        <w:spacing w:after="0" w:line="76" w:lineRule="exact"/>
        <w:rPr>
          <w:rFonts w:ascii="Times New Roman" w:cs="Times New Roman" w:eastAsia="Times New Roman" w:hAnsi="Times New Roman"/>
          <w:sz w:val="11"/>
          <w:szCs w:val="11"/>
          <w:color w:val="auto"/>
        </w:rPr>
      </w:pPr>
    </w:p>
    <w:p>
      <w:pPr>
        <w:ind w:left="260" w:hanging="260"/>
        <w:spacing w:after="0" w:line="273" w:lineRule="auto"/>
        <w:tabs>
          <w:tab w:leader="none" w:pos="254"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Maintain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22" w:lineRule="exact"/>
        <w:rPr>
          <w:rFonts w:ascii="Times New Roman" w:cs="Times New Roman" w:eastAsia="Times New Roman" w:hAnsi="Times New Roman"/>
          <w:sz w:val="11"/>
          <w:szCs w:val="11"/>
          <w:color w:val="auto"/>
        </w:rPr>
      </w:pPr>
    </w:p>
    <w:p>
      <w:pPr>
        <w:ind w:left="240" w:hanging="240"/>
        <w:spacing w:after="0"/>
        <w:tabs>
          <w:tab w:leader="none" w:pos="240" w:val="left"/>
        </w:tabs>
        <w:numPr>
          <w:ilvl w:val="0"/>
          <w:numId w:val="49"/>
        </w:numPr>
        <w:rPr>
          <w:rFonts w:ascii="Arial" w:cs="Arial" w:eastAsia="Arial" w:hAnsi="Arial"/>
          <w:sz w:val="11"/>
          <w:szCs w:val="11"/>
          <w:color w:val="auto"/>
        </w:rPr>
      </w:pPr>
      <w:r>
        <w:rPr>
          <w:rFonts w:ascii="Times New Roman" w:cs="Times New Roman" w:eastAsia="Times New Roman" w:hAnsi="Times New Roman"/>
          <w:sz w:val="16"/>
          <w:szCs w:val="16"/>
          <w:color w:val="auto"/>
        </w:rPr>
        <w:t>Ensure adequate and regular training on this Policy and its procedures for all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FAQs-8</w:t>
      </w:r>
    </w:p>
    <w:p>
      <w:pPr>
        <w:sectPr>
          <w:pgSz w:w="11900" w:h="16838" w:orient="portrait"/>
          <w:cols w:equalWidth="0" w:num="1">
            <w:col w:w="10960"/>
          </w:cols>
          <w:pgMar w:left="560" w:top="1309" w:right="379" w:bottom="1440" w:gutter="0" w:footer="0" w:header="0"/>
        </w:sectPr>
      </w:pPr>
    </w:p>
    <w:bookmarkStart w:id="144" w:name="page145"/>
    <w:bookmarkEnd w:id="14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Appendix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Exceptions to the Multiple, Overlapping 10b5-1 Plan Restriction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exceptions are:</w:t>
      </w:r>
    </w:p>
    <w:p>
      <w:pPr>
        <w:spacing w:after="0" w:line="145" w:lineRule="exact"/>
        <w:rPr>
          <w:sz w:val="20"/>
          <w:szCs w:val="20"/>
          <w:color w:val="auto"/>
        </w:rPr>
      </w:pPr>
    </w:p>
    <w:p>
      <w:pPr>
        <w:ind w:left="520" w:hanging="260"/>
        <w:spacing w:after="0" w:line="254" w:lineRule="auto"/>
        <w:tabs>
          <w:tab w:leader="none" w:pos="51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Covered Person does not otherwise exercise control over the timing of such sales. For the avoidance of doubt, this exception does not extend to sales incident to the exercise of option awards.</w:t>
      </w:r>
    </w:p>
    <w:p>
      <w:pPr>
        <w:spacing w:after="0" w:line="116" w:lineRule="exact"/>
        <w:rPr>
          <w:rFonts w:ascii="Times New Roman" w:cs="Times New Roman" w:eastAsia="Times New Roman" w:hAnsi="Times New Roman"/>
          <w:sz w:val="16"/>
          <w:szCs w:val="16"/>
          <w:color w:val="auto"/>
        </w:rPr>
      </w:pPr>
    </w:p>
    <w:p>
      <w:pPr>
        <w:ind w:left="520" w:right="40" w:hanging="260"/>
        <w:spacing w:after="0" w:line="246" w:lineRule="auto"/>
        <w:tabs>
          <w:tab w:leader="none" w:pos="51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series of separate contracts with different broker-dealers or other agents acting on behalf of the person (other than PubMatic)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PubMatic) for another broker-dealer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spacing w:after="0" w:line="122" w:lineRule="exact"/>
        <w:rPr>
          <w:rFonts w:ascii="Times New Roman" w:cs="Times New Roman" w:eastAsia="Times New Roman" w:hAnsi="Times New Roman"/>
          <w:sz w:val="16"/>
          <w:szCs w:val="16"/>
          <w:color w:val="auto"/>
        </w:rPr>
      </w:pPr>
    </w:p>
    <w:p>
      <w:pPr>
        <w:ind w:left="520" w:right="140" w:hanging="260"/>
        <w:spacing w:after="0" w:line="252" w:lineRule="auto"/>
        <w:tabs>
          <w:tab w:leader="none" w:pos="51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later-commencing 10b5-1 Plan for purchases or sales of any securities of PubMatic on the open market under which trading is not authorized to begin until after all trades under the earlier-commencing 10b5-1 Plan are completed or expired without execution. However, the first trade under such later-commencing 10b5-1 Plan must be scheduled after the “Effective Cooling-Off Period,” or the Cooling-Off Period that would be applicable to the later-commencing 10b5-1 Plan if the date of adoption of the later-commencing 10b5-1 Plan were deemed to be the date of termination of the earlier-commencing 10b5-1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Exceptions to the Single-Trade 10b5-1 Plan Restriction</w:t>
      </w:r>
    </w:p>
    <w:p>
      <w:pPr>
        <w:spacing w:after="0" w:line="14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6"/>
          <w:szCs w:val="16"/>
          <w:color w:val="auto"/>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Covered Person does not otherwise exercise control over the timing of such sales.</w:t>
      </w:r>
    </w:p>
    <w:p>
      <w:pPr>
        <w:sectPr>
          <w:pgSz w:w="11900" w:h="16838" w:orient="portrait"/>
          <w:cols w:equalWidth="0" w:num="1">
            <w:col w:w="11240"/>
          </w:cols>
          <w:pgMar w:left="300" w:top="1307" w:right="35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8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SUBSIDIARIES OF PUBMATIC, INC.</w:t>
            </w:r>
          </w:p>
        </w:tc>
      </w:tr>
      <w:tr>
        <w:trPr>
          <w:trHeight w:val="372"/>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6"/>
              </w:rPr>
              <w:t>Name:</w:t>
            </w:r>
          </w:p>
        </w:tc>
        <w:tc>
          <w:tcPr>
            <w:tcW w:w="2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Jurisdiction:</w:t>
            </w:r>
          </w:p>
        </w:tc>
      </w:tr>
      <w:tr>
        <w:trPr>
          <w:trHeight w:val="20"/>
        </w:trPr>
        <w:tc>
          <w:tcPr>
            <w:tcW w:w="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PubMatic India Private Limited</w:t>
            </w:r>
          </w:p>
        </w:tc>
        <w:tc>
          <w:tcPr>
            <w:tcW w:w="418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rPr>
              <w:t>India</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PubMatic GmbH</w:t>
            </w:r>
          </w:p>
        </w:tc>
        <w:tc>
          <w:tcPr>
            <w:tcW w:w="418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rPr>
              <w:t>Germany</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PubMatic Limited</w:t>
            </w:r>
          </w:p>
        </w:tc>
        <w:tc>
          <w:tcPr>
            <w:tcW w:w="418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w w:val="99"/>
              </w:rPr>
              <w:t>United Kingdom</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PubMatic Software (Shanghai) Limited</w:t>
            </w:r>
          </w:p>
        </w:tc>
        <w:tc>
          <w:tcPr>
            <w:tcW w:w="418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rPr>
              <w:t>China</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PubMatic KK</w:t>
            </w:r>
          </w:p>
        </w:tc>
        <w:tc>
          <w:tcPr>
            <w:tcW w:w="418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rPr>
              <w:t>Japan</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PubMatic Pte Ltd</w:t>
            </w:r>
          </w:p>
        </w:tc>
        <w:tc>
          <w:tcPr>
            <w:tcW w:w="4180" w:type="dxa"/>
            <w:vAlign w:val="bottom"/>
            <w:gridSpan w:val="3"/>
          </w:tcPr>
          <w:p>
            <w:pPr>
              <w:ind w:left="3220"/>
              <w:spacing w:after="0"/>
              <w:rPr>
                <w:sz w:val="20"/>
                <w:szCs w:val="20"/>
                <w:color w:val="auto"/>
              </w:rPr>
            </w:pPr>
            <w:r>
              <w:rPr>
                <w:rFonts w:ascii="Times New Roman" w:cs="Times New Roman" w:eastAsia="Times New Roman" w:hAnsi="Times New Roman"/>
                <w:sz w:val="14"/>
                <w:szCs w:val="14"/>
                <w:color w:val="auto"/>
              </w:rPr>
              <w:t>Singapore</w:t>
            </w:r>
          </w:p>
        </w:tc>
      </w:tr>
    </w:tbl>
    <w:p>
      <w:pPr>
        <w:sectPr>
          <w:pgSz w:w="11900" w:h="16838" w:orient="portrait"/>
          <w:cols w:equalWidth="0" w:num="1">
            <w:col w:w="11260"/>
          </w:cols>
          <w:pgMar w:left="320" w:top="1141"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333-277458, 333-270102, 333-263129, 333-251237 and 333-254752 on Form S-8 of our report dated February 27, 2025, relating to the financial statements of PubMatic, Inc. and the effectiveness of PubMatic Inc.’s internal control over financial reporting, appearing in this Annual Report on Form 10-K for the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1">
            <w:col w:w="11280"/>
          </w:cols>
          <w:pgMar w:left="300" w:top="1141"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spacing w:after="0" w:line="2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Rajeev K. Goel, certify that:</w:t>
      </w:r>
    </w:p>
    <w:p>
      <w:pPr>
        <w:spacing w:after="0" w:line="200"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PubMatic, Inc.;</w:t>
      </w:r>
    </w:p>
    <w:p>
      <w:pPr>
        <w:spacing w:after="0" w:line="19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251"/>
        <w:spacing w:after="0" w:line="301" w:lineRule="auto"/>
        <w:tabs>
          <w:tab w:leader="none" w:pos="101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7"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251"/>
        <w:spacing w:after="0" w:line="287" w:lineRule="auto"/>
        <w:tabs>
          <w:tab w:leader="none" w:pos="101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4"/>
          <w:szCs w:val="14"/>
          <w:color w:val="auto"/>
        </w:rPr>
        <w:t>Dated: February 27, 2025</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Rajeev K. Goel</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Rajeev K. Goel</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887"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spacing w:after="0" w:line="2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Steven Pantelick, certify that:</w:t>
      </w:r>
    </w:p>
    <w:p>
      <w:pPr>
        <w:spacing w:after="0" w:line="200" w:lineRule="exact"/>
        <w:rPr>
          <w:sz w:val="20"/>
          <w:szCs w:val="20"/>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PubMatic, Inc.;</w:t>
      </w:r>
    </w:p>
    <w:p>
      <w:pPr>
        <w:spacing w:after="0" w:line="19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8"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251"/>
        <w:spacing w:after="0" w:line="301" w:lineRule="auto"/>
        <w:tabs>
          <w:tab w:leader="none" w:pos="1015"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7"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251"/>
        <w:spacing w:after="0" w:line="287" w:lineRule="auto"/>
        <w:tabs>
          <w:tab w:leader="none" w:pos="1015"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4"/>
          <w:szCs w:val="14"/>
          <w:color w:val="auto"/>
        </w:rPr>
        <w:t>Dated: February 27, 2025</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Steven Pantelick</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Steven Pantelick</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886"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spacing w:after="0" w:line="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PURSUANT TO PURSUANT TO 18 U.S.C. SECTION 1350,</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AS ADOPTED PURSUANT TO SECTION 906 OF THE SARBANES-OXLEY ACT OF 2002</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 Rajeev K. Goel, Chief Executive Officer of PubMatic, Inc. (the “Company”), do hereby certify, pursuant to 18 U.S.C. Section 1350, as adopted pursuant to Section 906 of the Sarbanes-Oxley Act of 2002, that to my knowledge:</w:t>
      </w:r>
    </w:p>
    <w:p>
      <w:pPr>
        <w:spacing w:after="0" w:line="145" w:lineRule="exact"/>
        <w:rPr>
          <w:sz w:val="20"/>
          <w:szCs w:val="20"/>
          <w:color w:val="auto"/>
        </w:rPr>
      </w:pPr>
    </w:p>
    <w:p>
      <w:pPr>
        <w:ind w:left="520" w:hanging="260"/>
        <w:spacing w:after="0" w:line="287" w:lineRule="auto"/>
        <w:tabs>
          <w:tab w:leader="none" w:pos="51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for the fiscal year ended December 31, 2024 (the “Report”) fully complies with the requirements of Section 13(a) or 15(d) of the Securities Exchange Act of 1934;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4"/>
          <w:szCs w:val="14"/>
          <w:color w:val="auto"/>
        </w:rPr>
        <w:t>Dated: February 27, 2025</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Rajeev K. Goel</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Rajeev K. Goel</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80"/>
          </w:cols>
          <w:pgMar w:left="300" w:top="887"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spacing w:after="0" w:line="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PURSUANT TO PURSUANT TO 18 U.S.C. SECTION 1350,</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AS ADOPTED PURSUANT TO SECTION 906 OF THE SARBANES-OXLEY ACT OF 2002</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 Steven Pantelick, Chief Financial Officer of PubMatic, Inc. (the “Company”), do hereby certify, pursuant to 18 U.S.C. Section 1350, as adopted pursuant to Section 906 of the Sarbanes-Oxley Act of 2002, that to my knowledge:</w:t>
      </w:r>
    </w:p>
    <w:p>
      <w:pPr>
        <w:spacing w:after="0" w:line="145" w:lineRule="exact"/>
        <w:rPr>
          <w:sz w:val="20"/>
          <w:szCs w:val="20"/>
          <w:color w:val="auto"/>
        </w:rPr>
      </w:pPr>
    </w:p>
    <w:p>
      <w:pPr>
        <w:ind w:left="520" w:hanging="260"/>
        <w:spacing w:after="0" w:line="287" w:lineRule="auto"/>
        <w:tabs>
          <w:tab w:leader="none" w:pos="51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for the fiscal year ended December 31, 2024 (the “Report”) fully complies with the requirements of Section 13(a) or 15(d) of the Securities Exchange Act of 1934;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4"/>
          <w:szCs w:val="14"/>
          <w:color w:val="auto"/>
        </w:rPr>
        <w:t>Dated: February 27, 2025</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Steven Pantelick</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Steven Pantelick</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3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80"/>
      </w:cols>
      <w:pgMar w:left="300" w:top="8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Roman"/>
      <w:start w:val="3"/>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bullet"/>
      <w:start w:val="1"/>
    </w:lvl>
  </w:abstractNum>
  <w:abstractNum w:abstractNumId="34">
    <w:nsid w:val="2CD89A32"/>
    <w:multiLevelType w:val="hybridMultilevel"/>
    <w:lvl w:ilvl="0">
      <w:lvlJc w:val="left"/>
      <w:lvlText w:val="%1."/>
      <w:numFmt w:val="decimal"/>
      <w:start w:val="2"/>
    </w:lvl>
  </w:abstractNum>
  <w:abstractNum w:abstractNumId="35">
    <w:nsid w:val="57E4CCAF"/>
    <w:multiLevelType w:val="hybridMultilevel"/>
    <w:lvl w:ilvl="0">
      <w:lvlJc w:val="left"/>
      <w:lvlText w:val="%1."/>
      <w:numFmt w:val="upperLetter"/>
      <w:start w:val="1"/>
    </w:lvl>
  </w:abstractNum>
  <w:abstractNum w:abstractNumId="36">
    <w:nsid w:val="7A6D8D3C"/>
    <w:multiLevelType w:val="hybridMultilevel"/>
    <w:lvl w:ilvl="0">
      <w:lvlJc w:val="left"/>
      <w:lvlText w:val="2"/>
      <w:numFmt w:val="bullet"/>
      <w:start w:val="1"/>
    </w:lvl>
  </w:abstractNum>
  <w:abstractNum w:abstractNumId="37">
    <w:nsid w:val="4B588F54"/>
    <w:multiLevelType w:val="hybridMultilevel"/>
    <w:lvl w:ilvl="0">
      <w:lvlJc w:val="left"/>
      <w:lvlText w:val="%1."/>
      <w:numFmt w:val="upperLetter"/>
      <w:start w:val="7"/>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4"/>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6" Type="http://schemas.openxmlformats.org/officeDocument/2006/relationships/image" Target="media/image111.png"/><Relationship Id="rId157"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jpe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18" Type="http://schemas.openxmlformats.org/officeDocument/2006/relationships/hyperlink" Target="https://www.sec.gov/Archives/edgar/data/1422930/000142293022000045/exhibit21-mergeragreement.htm" TargetMode="External"/><Relationship Id="rId119" Type="http://schemas.openxmlformats.org/officeDocument/2006/relationships/hyperlink" Target="https://www.sec.gov/Archives/edgar/data/1422930/000142293023000008/ex32arbylawsfebruary2023.htm" TargetMode="External"/><Relationship Id="rId120" Type="http://schemas.openxmlformats.org/officeDocument/2006/relationships/hyperlink" Target="https://www.sec.gov/Archives/edgar/data/0001422930/000162828020016866/exhibit41-sx1a1.htm" TargetMode="External"/><Relationship Id="rId121" Type="http://schemas.openxmlformats.org/officeDocument/2006/relationships/hyperlink" Target="https://www.sec.gov/Archives/edgar/data/1422930/000162828020016438/exhibit42-sx1.htm" TargetMode="External"/><Relationship Id="rId122" Type="http://schemas.openxmlformats.org/officeDocument/2006/relationships/hyperlink" Target="https://www.sec.gov/Archives/edgar/data/1422930/000142293021000009/exhibit43.htm" TargetMode="External"/><Relationship Id="rId123" Type="http://schemas.openxmlformats.org/officeDocument/2006/relationships/hyperlink" Target="https://www.sec.gov/Archives/edgar/data/1422930/000162828020016438/exhibit101-sx1.htm" TargetMode="External"/><Relationship Id="rId124" Type="http://schemas.openxmlformats.org/officeDocument/2006/relationships/hyperlink" Target="https://www.sec.gov/Archives/edgar/data/1422930/000162828020016438/exhibit102-sx1.htm" TargetMode="External"/><Relationship Id="rId125" Type="http://schemas.openxmlformats.org/officeDocument/2006/relationships/hyperlink" Target="https://www.sec.gov/Archives/edgar/data/1422930/000162828020016438/exhibit104-sx1.htm" TargetMode="External"/><Relationship Id="rId126" Type="http://schemas.openxmlformats.org/officeDocument/2006/relationships/hyperlink" Target="https://www.sec.gov/Archives/edgar/data/0001422930/000162828020016866/exhibit105-sx1a1.htm" TargetMode="External"/><Relationship Id="rId127" Type="http://schemas.openxmlformats.org/officeDocument/2006/relationships/hyperlink" Target="https://www.sec.gov/Archives/edgar/data/1422930/000162828020016438/exhibit103-sx1.htm" TargetMode="External"/><Relationship Id="rId128" Type="http://schemas.openxmlformats.org/officeDocument/2006/relationships/hyperlink" Target="https://www.sec.gov/Archives/edgar/data/1422930/000142293021000009/exhibit104form10-k.htm" TargetMode="External"/><Relationship Id="rId129" Type="http://schemas.openxmlformats.org/officeDocument/2006/relationships/hyperlink" Target="https://www.sec.gov/Archives/edgar/data/1422930/000142293021000006/exhibit106.htm" TargetMode="External"/><Relationship Id="rId130" Type="http://schemas.openxmlformats.org/officeDocument/2006/relationships/hyperlink" Target="https://www.sec.gov/Archives/edgar/data/1422930/000142293022000009/exhibit108202110-k.htm" TargetMode="External"/><Relationship Id="rId131" Type="http://schemas.openxmlformats.org/officeDocument/2006/relationships/hyperlink" Target="https://www.sec.gov/Archives/edgar/data/1422930/000142293023000008/ex1092023executivebonusplan.htm" TargetMode="External"/><Relationship Id="rId132" Type="http://schemas.openxmlformats.org/officeDocument/2006/relationships/hyperlink" Target="https://www.sec.gov/Archives/edgar/data/1422930/000142293024000012/a2024executivebonusplan.htm" TargetMode="External"/><Relationship Id="rId133" Type="http://schemas.openxmlformats.org/officeDocument/2006/relationships/hyperlink" Target="https://www.sec.gov/Archives/edgar/data/0001422930/000162828020016866/exhibit106-sx1a1.htm" TargetMode="External"/><Relationship Id="rId134" Type="http://schemas.openxmlformats.org/officeDocument/2006/relationships/hyperlink" Target="https://www.sec.gov/Archives/edgar/data/1422930/000142293021000006/exhibit107.htm" TargetMode="External"/><Relationship Id="rId135" Type="http://schemas.openxmlformats.org/officeDocument/2006/relationships/hyperlink" Target="https://www.sec.gov/Archives/edgar/data/0001422930/000162828020016866/exhibit107-sx1a1.htm" TargetMode="External"/><Relationship Id="rId137" Type="http://schemas.openxmlformats.org/officeDocument/2006/relationships/hyperlink" Target="https://www.sec.gov/Archives/edgar/data/0001422930/000162828020016866/exhibit108-sx1a1.htm" TargetMode="External"/><Relationship Id="rId138" Type="http://schemas.openxmlformats.org/officeDocument/2006/relationships/hyperlink" Target="https://www.sec.gov/Archives/edgar/data/0001422930/000162828020016866/exhibit109-sx1a1.htm" TargetMode="External"/><Relationship Id="rId139" Type="http://schemas.openxmlformats.org/officeDocument/2006/relationships/hyperlink" Target="https://www.sec.gov/Archives/edgar/data/1422930/000142293021000006/exhibit102.htm" TargetMode="External"/><Relationship Id="rId140" Type="http://schemas.openxmlformats.org/officeDocument/2006/relationships/hyperlink" Target="https://www.sec.gov/Archives/edgar/data/1422930/000142293021000006/exhibit103.htm" TargetMode="External"/><Relationship Id="rId141" Type="http://schemas.openxmlformats.org/officeDocument/2006/relationships/hyperlink" Target="https://www.sec.gov/Archives/edgar/data/1422930/000142293021000006/exhibit104.htm" TargetMode="External"/><Relationship Id="rId142" Type="http://schemas.openxmlformats.org/officeDocument/2006/relationships/hyperlink" Target="https://www.sec.gov/Archives/edgar/data/1422930/000142293021000006/exhibit105.htm" TargetMode="External"/><Relationship Id="rId143" Type="http://schemas.openxmlformats.org/officeDocument/2006/relationships/hyperlink" Target="https://www.sec.gov/Archives/edgar/data/1422930/000142293022000009/exhibit1018form10-k2021.htm" TargetMode="External"/><Relationship Id="rId144" Type="http://schemas.openxmlformats.org/officeDocument/2006/relationships/hyperlink" Target="https://www.sec.gov/Archives/edgar/data/1422930/000162828020016438/exhibit1013-sx1.htm" TargetMode="External"/><Relationship Id="rId145" Type="http://schemas.openxmlformats.org/officeDocument/2006/relationships/hyperlink" Target="https://www.sec.gov/Archives/edgar/data/1422930/000142293021000006/exhibit101.htm" TargetMode="External"/><Relationship Id="rId146" Type="http://schemas.openxmlformats.org/officeDocument/2006/relationships/hyperlink" Target="https://www.sec.gov/Archives/edgar/data/1422930/000142293021000015/exhibit101april62021.htm" TargetMode="External"/><Relationship Id="rId147" Type="http://schemas.openxmlformats.org/officeDocument/2006/relationships/hyperlink" Target="https://www.sec.gov/Archives/edgar/data/0001422930/000142293021000037/exhibit101-june42021.htm" TargetMode="External"/><Relationship Id="rId148" Type="http://schemas.openxmlformats.org/officeDocument/2006/relationships/hyperlink" Target="https://www.sec.gov/Archives/edgar/data/1422930/000162828020016438/exhibit1014-sx1.htm" TargetMode="External"/><Relationship Id="rId149" Type="http://schemas.openxmlformats.org/officeDocument/2006/relationships/hyperlink" Target="https://www.sec.gov/Archives/edgar/data/1422930/000162828020016438/exhibit1015-sx1.htm" TargetMode="External"/><Relationship Id="rId150" Type="http://schemas.openxmlformats.org/officeDocument/2006/relationships/hyperlink" Target="https://www.sec.gov/Archives/edgar/data/1422930/000162828020016438/exhibit1016-sx1.htm" TargetMode="External"/><Relationship Id="rId151" Type="http://schemas.openxmlformats.org/officeDocument/2006/relationships/hyperlink" Target="https://www.sec.gov/Archives/edgar/data/1422930/000142293021000055/exhibit101q3.htm" TargetMode="External"/><Relationship Id="rId152" Type="http://schemas.openxmlformats.org/officeDocument/2006/relationships/hyperlink" Target="https://www.sec.gov/Archives/edgar/data/1422930/000142293021000055/exhibit102q3.htm" TargetMode="External"/><Relationship Id="rId153" Type="http://schemas.openxmlformats.org/officeDocument/2006/relationships/hyperlink" Target="https://www.sec.gov/Archives/edgar/data/0001422930/000162828020016866/exhibit1020-sx1a1.htm" TargetMode="External"/><Relationship Id="rId154" Type="http://schemas.openxmlformats.org/officeDocument/2006/relationships/hyperlink" Target="https://www.sec.gov/Archives/edgar/data/0001422930/000162828020016866/exhibit1021-sx1a1.htm" TargetMode="External"/><Relationship Id="rId155" Type="http://schemas.openxmlformats.org/officeDocument/2006/relationships/hyperlink" Target="https://www.sec.gov/Archives/edgar/data/1422930/000142293022000048/ex101-svbcreditagreement.htm" TargetMode="External"/><Relationship Id="rId156" Type="http://schemas.openxmlformats.org/officeDocument/2006/relationships/hyperlink" Target="https://www.sec.gov/Archives/edgar/data/1422930/000142293023000023/exhibit101q1advisoragreeme.htm" TargetMode="External"/><Relationship Id="rId158" Type="http://schemas.openxmlformats.org/officeDocument/2006/relationships/hyperlink" Target="https://www.sec.gov/Archives/edgar/data/1422930/000142293024000012/pubmatic-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2025-02-27T15:46:43Z</dcterms:created>
  <dcterms:modified xsi:type="dcterms:W3CDTF">2025-02-27T15:46:43Z</dcterms:modified>
</cp:coreProperties>
</file>